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练，内容涵盖掌握有功功率、无功功率和视在功率的概念及三者关系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S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=P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+Q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²，理解功率因数的意义和提高方法。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79</w:t>
      </w:r>
      <w:r>
        <w:rPr>
          <w:rFonts w:ascii="宋体" w:hAnsi="宋体" w:eastAsia="宋体"/>
          <w:b/>
          <w:sz w:val="28"/>
        </w:rPr>
        <w:t>练  交流电路的功率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交流电路中，表示电场或磁场能量往返交换规模的功率单位通常为（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瓦特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乏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var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伏安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交流电路中与能量往返交换有关的量采用无功计量单位，工程上通常用乏或千乏表示。瓦特用于表示实际消耗的功率，伏安用于表示供电容量。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用三表法间接求某单相负载的功率因数时，通常需要取得的读数为（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单相负载功率因数可由有功功率、电压和电流求得，因此需要功率表、电压表和电流表读数。电阻值或无功读数不是三表法直接求功率因数的必要读数。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感性负载两端并联适当电容后，电源侧电流中的主要变化是（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滞后分量减小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滞后分量增大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同相分量减小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同相分量反向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感性负载需要从电源取得滞后的无功电流，并联电容后可由电容提供部分超前电流进行补偿。这样电源侧承担的滞后分量减小，功率因数得到改善。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电容柜投入后，柜内电容支路无电流，而设备功率因数仍偏低，较可能的原因是（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补偿支路熔断器断开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电压表指针量程偏小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功率表电压线圈短路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负载开关触点粘连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电容支路无电流说明补偿回路未实际接入，熔断器断开会使电容不能参与补偿。此时感性负载的无功需求仍主要由电源提供，所以功率因数仍偏低。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某感性负载经补偿后，无功需求减少而有功负载保持不变，下列变化可能出现的有（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有功读数基本不变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视在容量有所减小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线路电流有所减小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电源频率明显降低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补偿主要减少电源侧提供的无功部分，不改变负载实际做功所需的有功功率。在电压不变时，视在功率和线路电流会随之减小，电源频率不会因无功补偿而明显降低。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给车间低压配电系统配置电容补偿装置时，正确的做法有（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按负载性质选择容量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按额定电压选择器件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按运行变化分组投切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按最大电流短接电容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电容补偿应根据负载性质、运行电压和负荷变化合理选择容量和投切方式。直接短接电容属于错误操作，会造成过电流和设备损坏风险。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比较交流电路中常用的功率量，下列说法正确的有（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有功功率反映能量消耗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无功功率反映能量交换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视在功率反映供电容量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功率因数反映电压高低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有功功率表示负载实际消耗并转换的功率，无功功率表示电场或磁场能量的交换规模，视在功率表示电源和线路需要提供的容量。功率因数反映有功功率在视在功率中的占比，不是电压高低的直接指标。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某单相交流负载的视在功率为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kVA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，按功率三角形关系判断，下列结果正确的有（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var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有功功率为视在功率与功率因数的乘积，即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VA×0.6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。由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=P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+Q</w:t>
      </w:r>
      <w:r>
        <w:rPr>
          <w:rFonts w:ascii="宋体" w:hAnsi="宋体" w:eastAsia="宋体"/>
          <w:b w:val="0"/>
          <w:color w:val="FF0000"/>
          <w:sz w:val="21"/>
        </w:rPr>
        <w:t>²可得无功功率为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t>，因此把有功功率判为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是错误的。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功率因数可表示为有功功率与视在功率的比值。（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功率因数反映负载从电源取得的容量中有多少用于实际做功，通常用有功功率与视在功率的比值表示。该比值越大，供电容量利用越充分。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在功率三角形中，两条直角边可分别表示有功功率和无功功率。（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功率三角形用直角三角形表示三种功率的关系，其中有功功率和无功功率构成直角边，视在功率对应斜边。三者满足平方关系。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电容性负载吸收无功时，电流相位通常滞后于电压相位。（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电容性负载中电流相位通常超前于电压相位，感性负载中电流相位才通常滞后于电压相位。本题把两类负载的相位特征混淆了。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补偿装置投入后若出现过补偿现象，应继续增加电容容量。（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过补偿说明电容提供的无功超过了实际需要，继续增加容量会使运行状态更加不合理。正确处理方向通常是减少投入电容组或调整投切控制。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简述功率因数过低对交流供电系统可能产生的影响。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）功率因数过低会使同样有功负载下的视在功率增大，供电设备容量利用率降低。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）功率因数过低会使线路电流增大，导致线路损耗和电压降增加。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）功率因数过低会增加变压器、开关和导线的负担，影响供电系统经济运行。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本题应从视在功率、线路电流和供电设备利用三个方面分析。功率因数低的本质是无功分量占比偏大，因此会使电源和线路承担更多不做实际功的容量。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某单相交流设备接在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电源上，测得有功功率为</w:t>
      </w:r>
      <w:r>
        <w:rPr>
          <w:rFonts w:ascii="Times New Roman" w:hAnsi="Times New Roman" w:eastAsia="Times New Roman"/>
          <w:b w:val="0"/>
          <w:sz w:val="21"/>
        </w:rPr>
        <w:t>1760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）该设备的视在功率；（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）线路电流。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cosφ=P/S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S=P/cosφ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S=1760/0.8=2200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</w:t>
      </w:r>
      <w:r>
        <w:rPr>
          <w:rFonts w:ascii="宋体" w:hAnsi="宋体" w:eastAsia="宋体"/>
          <w:b w:val="0"/>
          <w:color w:val="FF0000"/>
          <w:sz w:val="21"/>
        </w:rPr>
        <w:t>，因此该设备的视在功率为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）根据单相交流电路视在功率公式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S=UI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I=S/U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I=2200/220=10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，因此线路电流为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两台单相设备均接在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电源上，甲设备有功功率为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、功率因数为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，乙设备有功功率为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、功率因数为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）甲、乙设备的视在功率；（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）甲、乙设备的线路电流；（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）若只能优先治理一台设备，应优先选择哪一台，并说明理由。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）甲设备视在功率为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4.0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</w:t>
      </w:r>
      <w:r>
        <w:rPr>
          <w:rFonts w:ascii="宋体" w:hAnsi="宋体" w:eastAsia="宋体"/>
          <w:b w:val="0"/>
          <w:color w:val="FF0000"/>
          <w:sz w:val="21"/>
        </w:rPr>
        <w:t>，乙设备视在功率为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6.0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）甲设备线路电流约为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18.2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，乙设备线路电流约为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27.3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）应优先选择乙设备，因为乙设备功率因数更低，在相同有功功率下占用容量更大、线路电流更大。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cosφ=P/S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S=P/cosφ</w:t>
      </w:r>
      <w:r>
        <w:rPr>
          <w:rFonts w:ascii="宋体" w:hAnsi="宋体" w:eastAsia="宋体"/>
          <w:b w:val="0"/>
          <w:color w:val="FF0000"/>
          <w:sz w:val="21"/>
        </w:rPr>
        <w:t>。甲设备</w:t>
      </w:r>
      <w:r>
        <w:rPr>
          <w:rFonts w:ascii="Times New Roman" w:hAnsi="Times New Roman" w:eastAsia="Times New Roman"/>
          <w:b w:val="0"/>
          <w:color w:val="FF0000"/>
          <w:sz w:val="21"/>
        </w:rPr>
        <w:t>S=3.0/0.75=4.0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</w:t>
      </w:r>
      <w:r>
        <w:rPr>
          <w:rFonts w:ascii="宋体" w:hAnsi="宋体" w:eastAsia="宋体"/>
          <w:b w:val="0"/>
          <w:color w:val="FF0000"/>
          <w:sz w:val="21"/>
        </w:rPr>
        <w:t>，乙设备</w:t>
      </w:r>
      <w:r>
        <w:rPr>
          <w:rFonts w:ascii="Times New Roman" w:hAnsi="Times New Roman" w:eastAsia="Times New Roman"/>
          <w:b w:val="0"/>
          <w:color w:val="FF0000"/>
          <w:sz w:val="21"/>
        </w:rPr>
        <w:t>S=3.0/0.50=6.0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</w:t>
      </w:r>
      <w:r>
        <w:rPr>
          <w:rFonts w:ascii="宋体" w:hAnsi="宋体" w:eastAsia="宋体"/>
          <w:b w:val="0"/>
          <w:color w:val="FF0000"/>
          <w:sz w:val="21"/>
        </w:rPr>
        <w:t>，因此乙设备占用的供电容量更大。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）根据单相交流电路视在功率公式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S=UI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I=S/U</w:t>
      </w:r>
      <w:r>
        <w:rPr>
          <w:rFonts w:ascii="宋体" w:hAnsi="宋体" w:eastAsia="宋体"/>
          <w:b w:val="0"/>
          <w:color w:val="FF0000"/>
          <w:sz w:val="21"/>
        </w:rPr>
        <w:t>。甲设备</w:t>
      </w:r>
      <w:r>
        <w:rPr>
          <w:rFonts w:ascii="Times New Roman" w:hAnsi="Times New Roman" w:eastAsia="Times New Roman"/>
          <w:b w:val="0"/>
          <w:color w:val="FF0000"/>
          <w:sz w:val="21"/>
        </w:rPr>
        <w:t>I=4000/220≈18.2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，乙设备</w:t>
      </w:r>
      <w:r>
        <w:rPr>
          <w:rFonts w:ascii="Times New Roman" w:hAnsi="Times New Roman" w:eastAsia="Times New Roman"/>
          <w:b w:val="0"/>
          <w:color w:val="FF0000"/>
          <w:sz w:val="21"/>
        </w:rPr>
        <w:t>I=6000/220≈27.3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，因此乙设备线路电流更大。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）比较可知，两台设备有功功率相同，但乙设备功率因数较低，导致视在功率和电流均明显偏大。优先对乙设备进行无功补偿，更有利于降低线路负担和提高容量利用率。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