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练，内容涵盖理解并联谐振的条件和特点，了解并联谐振在选频电路中的应用。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谐振电路  第</w:t>
      </w:r>
      <w:r>
        <w:rPr>
          <w:rFonts w:ascii="Times New Roman" w:hAnsi="Times New Roman" w:eastAsia="Times New Roman"/>
          <w:b/>
          <w:sz w:val="28"/>
        </w:rPr>
        <w:t>83</w:t>
      </w:r>
      <w:r>
        <w:rPr>
          <w:rFonts w:ascii="宋体" w:hAnsi="宋体" w:eastAsia="宋体"/>
          <w:b/>
          <w:sz w:val="28"/>
        </w:rPr>
        <w:t>练  并联谐振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用导纳观点分析理想并联回路，发生谐振时应满足的关系是（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支路电压大小相等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支路电阻大小相等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无功电纳相互抵消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有功电导相互抵消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并联谐振时，电感支路与电容支路的无功电纳大小相等、性质相反，外电路只表现为有功成分。因此用导纳分析时，应抓住无功电纳相互抵消这一条件。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调台时旋转并联调谐回路中的可变电容器，其直接目的是（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减小电源输出电流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改变回路固有频率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提高线圈绝缘强度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降低电路工作电压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并联选频回路的固有频率由电感量和电容量共同决定。调节可变电容器会改变电容量，使回路固有频率与所需信号频率一致，从而实现选台。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某并联电路的外加信号频率低于其固有频率时，电路整体通常表现为（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呈感性状态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呈纯阻状态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呈容性状态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呈短路状态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在低于固有频率时，电感支路的影响相对较强，回路对外表现出感性特征。只有在信号频率等于固有频率时，电路才近似呈纯电阻性质。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检修并联调谐回路时，扫频过程中始终找不到明显的电流最小点，较可能的故障是（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电容器极板短接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电源频率调节平稳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电压表内阻较高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线圈接线端紧固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并联谐振时电源电流应出现最小值，若可变电容器极板短接，回路的正常储能关系被破坏，难以形成明显谐振点。其余选项一般不会使谐振现象完全消失。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在电感量和电容量不变时，若并联选频回路的等效损耗减小，下列变化正确的是（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回路品质因数增大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通频带宽度增大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谐振曲线变尖锐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选频能力会增强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等效损耗减小时，回路品质因数增大，谐振曲线更加尖锐，选频能力增强。通频带通常会变窄，因此“通频带宽度增大”不符合并联选频回路的规律。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调试无线接收设备的并联选频级时，下列做法正确的是（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将谐振点调到目标频率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减小无关负载的影响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避免线圈损耗明显增大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追求品质因数越低越好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并联选频级应使谐振点对准目标信号频率，同时减少外接负载和线圈损耗对选择性的影响。品质因数过低会使曲线变宽，不利于区分邻近频率信号。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比较串联谐振电路和并联谐振电路，下列说法正确的是（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串联谐振时阻抗最小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并联谐振时阻抗最大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二者频率条件相同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二者电源电流均最大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串联谐振时电路总阻抗最小，电源电流最大；并联谐振时总阻抗最大，电源电流最小。理想条件下二者的频率条件都由电感量和电容量决定。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某并联调谐回路要求固有频率为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MHz</w:t>
      </w:r>
      <w:r>
        <w:rPr>
          <w:rFonts w:ascii="宋体" w:hAnsi="宋体" w:eastAsia="宋体"/>
          <w:b w:val="0"/>
          <w:sz w:val="21"/>
        </w:rPr>
        <w:t>，电感量为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μH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25.3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  <w:r>
              <w:rPr>
                <w:rFonts w:ascii="宋体" w:hAnsi="宋体" w:eastAsia="宋体"/>
                <w:b w:val="0"/>
                <w:sz w:val="21"/>
              </w:rPr>
              <w:t>时呈容性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  <w:r>
              <w:rPr>
                <w:rFonts w:ascii="宋体" w:hAnsi="宋体" w:eastAsia="宋体"/>
                <w:b w:val="0"/>
                <w:sz w:val="21"/>
              </w:rPr>
              <w:t>时呈感性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</w:t>
      </w:r>
      <w:r>
        <w:rPr>
          <w:rFonts w:ascii="Times New Roman" w:hAnsi="Times New Roman" w:eastAsia="Times New Roman"/>
          <w:b w:val="0"/>
          <w:color w:val="FF0000"/>
          <w:sz w:val="21"/>
        </w:rPr>
        <w:t>f0=1/(2π√LC)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C=1/[(2πf0)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L]</w:t>
      </w:r>
      <w:r>
        <w:rPr>
          <w:rFonts w:ascii="宋体" w:hAnsi="宋体" w:eastAsia="宋体"/>
          <w:b w:val="0"/>
          <w:color w:val="FF0000"/>
          <w:sz w:val="21"/>
        </w:rPr>
        <w:t>。代入</w:t>
      </w:r>
      <w:r>
        <w:rPr>
          <w:rFonts w:ascii="Times New Roman" w:hAnsi="Times New Roman" w:eastAsia="Times New Roman"/>
          <w:b w:val="0"/>
          <w:color w:val="FF0000"/>
          <w:sz w:val="21"/>
        </w:rPr>
        <w:t>f0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MHz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μH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253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pF</w:t>
      </w:r>
      <w:r>
        <w:rPr>
          <w:rFonts w:ascii="宋体" w:hAnsi="宋体" w:eastAsia="宋体"/>
          <w:b w:val="0"/>
          <w:color w:val="FF0000"/>
          <w:sz w:val="21"/>
        </w:rPr>
        <w:t>；当信号频率低于固有频率时，回路整体通常呈感性。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并联谐振时，电路对电源近似表现为纯电阻性质。（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并联谐振时，电感支路和电容支路的无功电流在外电路中相互抵消，电源侧主要提供有功电流。因此电路对电源近似表现为纯电阻性质。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实际线圈存在电阻，会使并联谐振回路的峰值阻抗低于理想值。（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实际线圈的电阻会产生能量损耗，使回路的品质因数降低。损耗越大，谐振时的等效阻抗峰值通常越低。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并联谐振时，电源电流等于电感支路电流与电容支路电流的算术相加。（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电感支路电流和电容支路电流相位相反，不能按普通算术关系直接相加。并联谐振时两支路无功电流在电源侧近似抵消，电源电流较小。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选频输出峰值偏低时，单纯增大信号源内阻一定能改善选择性。（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选频性能与回路损耗、负载影响和调谐状态等因素有关，不能用增大信号源内阻作绝对判断。若峰值偏低，应先检查回路损耗、耦合强弱和元件参数是否合适。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简述并联谐振选频电路调试时应注意的要点。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）应使回路的固有频率与待接收信号频率一致，使目标信号获得较大输出。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）应尽量减小线圈电阻和外接负载的附加损耗，以保持较好的选择性。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）应检查电感、电容及连接点是否可靠，避免接触不良或元件故障导致谐振点偏移。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本题考查并联谐振在选频电路中的应用。答题时应围绕“调准频率、减小损耗、保证元件状态可靠”三个方面说明，不能只写并联谐振的定义。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已知某并联调谐回路的电感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μH</w:t>
      </w:r>
      <w:r>
        <w:rPr>
          <w:rFonts w:ascii="宋体" w:hAnsi="宋体" w:eastAsia="宋体"/>
          <w:b w:val="0"/>
          <w:sz w:val="21"/>
        </w:rPr>
        <w:t>，电容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。求该回路的谐振频率，结果用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表示并保留整数。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1007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根据并联谐振频率公式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f0=1/(2π√LC)</w:t>
      </w:r>
      <w:r>
        <w:rPr>
          <w:rFonts w:ascii="宋体" w:hAnsi="宋体" w:eastAsia="宋体"/>
          <w:b w:val="0"/>
          <w:color w:val="FF0000"/>
          <w:sz w:val="21"/>
        </w:rPr>
        <w:t>。代入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μH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pF</w:t>
      </w:r>
      <w:r>
        <w:rPr>
          <w:rFonts w:ascii="宋体" w:hAnsi="宋体" w:eastAsia="宋体"/>
          <w:b w:val="0"/>
          <w:color w:val="FF0000"/>
          <w:sz w:val="21"/>
        </w:rPr>
        <w:t>，先换算为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100×10</w:t>
      </w:r>
      <w:r>
        <w:rPr>
          <w:rFonts w:ascii="宋体" w:hAnsi="宋体" w:eastAsia="宋体"/>
          <w:b w:val="0"/>
          <w:color w:val="FF0000"/>
          <w:sz w:val="21"/>
        </w:rPr>
        <w:t xml:space="preserve">⁻⁶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250×10</w:t>
      </w:r>
      <w:r>
        <w:rPr>
          <w:rFonts w:ascii="宋体" w:hAnsi="宋体" w:eastAsia="宋体"/>
          <w:b w:val="0"/>
          <w:color w:val="FF0000"/>
          <w:sz w:val="21"/>
        </w:rPr>
        <w:t xml:space="preserve">⁻¹²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√LC=√(100×10</w:t>
      </w:r>
      <w:r>
        <w:rPr>
          <w:rFonts w:ascii="宋体" w:hAnsi="宋体" w:eastAsia="宋体"/>
          <w:b w:val="0"/>
          <w:color w:val="FF0000"/>
          <w:sz w:val="21"/>
        </w:rPr>
        <w:t>⁻⁶</w:t>
      </w:r>
      <w:r>
        <w:rPr>
          <w:rFonts w:ascii="Times New Roman" w:hAnsi="Times New Roman" w:eastAsia="Times New Roman"/>
          <w:b w:val="0"/>
          <w:color w:val="FF0000"/>
          <w:sz w:val="21"/>
        </w:rPr>
        <w:t>×250×10</w:t>
      </w:r>
      <w:r>
        <w:rPr>
          <w:rFonts w:ascii="宋体" w:hAnsi="宋体" w:eastAsia="宋体"/>
          <w:b w:val="0"/>
          <w:color w:val="FF0000"/>
          <w:sz w:val="21"/>
        </w:rPr>
        <w:t>⁻¹²</w:t>
      </w:r>
      <w:r>
        <w:rPr>
          <w:rFonts w:ascii="Times New Roman" w:hAnsi="Times New Roman" w:eastAsia="Times New Roman"/>
          <w:b w:val="0"/>
          <w:color w:val="FF0000"/>
          <w:sz w:val="21"/>
        </w:rPr>
        <w:t>)=1.581×10</w:t>
      </w:r>
      <w:r>
        <w:rPr>
          <w:rFonts w:ascii="宋体" w:hAnsi="宋体" w:eastAsia="宋体"/>
          <w:b w:val="0"/>
          <w:color w:val="FF0000"/>
          <w:sz w:val="21"/>
        </w:rPr>
        <w:t>⁻⁷。再计算</w:t>
      </w:r>
      <w:r>
        <w:rPr>
          <w:rFonts w:ascii="Times New Roman" w:hAnsi="Times New Roman" w:eastAsia="Times New Roman"/>
          <w:b w:val="0"/>
          <w:color w:val="FF0000"/>
          <w:sz w:val="21"/>
        </w:rPr>
        <w:t>f0=1/(2×3.14×1.581×10</w:t>
      </w:r>
      <w:r>
        <w:rPr>
          <w:rFonts w:ascii="宋体" w:hAnsi="宋体" w:eastAsia="宋体"/>
          <w:b w:val="0"/>
          <w:color w:val="FF0000"/>
          <w:sz w:val="21"/>
        </w:rPr>
        <w:t>⁻⁷</w:t>
      </w:r>
      <w:r>
        <w:rPr>
          <w:rFonts w:ascii="Times New Roman" w:hAnsi="Times New Roman" w:eastAsia="Times New Roman"/>
          <w:b w:val="0"/>
          <w:color w:val="FF0000"/>
          <w:sz w:val="21"/>
        </w:rPr>
        <w:t>)=1007000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，换算后约为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1007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某并联谐振选频回路的中心频率为</w:t>
      </w:r>
      <w:r>
        <w:rPr>
          <w:rFonts w:ascii="Times New Roman" w:hAnsi="Times New Roman" w:eastAsia="Times New Roman"/>
          <w:b w:val="0"/>
          <w:sz w:val="21"/>
        </w:rPr>
        <w:t>1.20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MHz</w:t>
      </w:r>
      <w:r>
        <w:rPr>
          <w:rFonts w:ascii="宋体" w:hAnsi="宋体" w:eastAsia="宋体"/>
          <w:b w:val="0"/>
          <w:sz w:val="21"/>
        </w:rPr>
        <w:t>，测得输出电压降为最大值</w:t>
      </w:r>
      <w:r>
        <w:rPr>
          <w:rFonts w:ascii="Times New Roman" w:hAnsi="Times New Roman" w:eastAsia="Times New Roman"/>
          <w:b w:val="0"/>
          <w:sz w:val="21"/>
        </w:rPr>
        <w:t>0.707</w:t>
      </w:r>
      <w:r>
        <w:rPr>
          <w:rFonts w:ascii="宋体" w:hAnsi="宋体" w:eastAsia="宋体"/>
          <w:b w:val="0"/>
          <w:sz w:val="21"/>
        </w:rPr>
        <w:t>倍时的两个频率分别为</w:t>
      </w:r>
      <w:r>
        <w:rPr>
          <w:rFonts w:ascii="Times New Roman" w:hAnsi="Times New Roman" w:eastAsia="Times New Roman"/>
          <w:b w:val="0"/>
          <w:sz w:val="21"/>
        </w:rPr>
        <w:t>1.17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MHz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1.23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MHz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）该回路的通频带宽度；（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）该回路的品质因数，并判断若要求通频带不大于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时是否满足要求。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>，不满足要求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）通频带宽度等于两个截止频率之差。代入数据得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B=1.23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MHz-1.17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MHz=0.06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MHz</w:t>
      </w:r>
      <w:r>
        <w:rPr>
          <w:rFonts w:ascii="宋体" w:hAnsi="宋体" w:eastAsia="宋体"/>
          <w:b w:val="0"/>
          <w:color w:val="FF0000"/>
          <w:sz w:val="21"/>
        </w:rPr>
        <w:t>，换算为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）品质因数按</w:t>
      </w:r>
      <w:r>
        <w:rPr>
          <w:rFonts w:ascii="Times New Roman" w:hAnsi="Times New Roman" w:eastAsia="Times New Roman"/>
          <w:b w:val="0"/>
          <w:color w:val="FF0000"/>
          <w:sz w:val="21"/>
        </w:rPr>
        <w:t>Q=f0/B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Q=1.20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MHz/0.06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MHz=20</w:t>
      </w:r>
      <w:r>
        <w:rPr>
          <w:rFonts w:ascii="宋体" w:hAnsi="宋体" w:eastAsia="宋体"/>
          <w:b w:val="0"/>
          <w:color w:val="FF0000"/>
          <w:sz w:val="21"/>
        </w:rPr>
        <w:t>；由于实际通频带为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，大于要求的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，所以该回路不满足要求，应通过减小损耗或优化耦合等方法提高选择性。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