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3</w:t>
            </w:r>
            <w:r>
              <w:rPr>
                <w:rFonts w:ascii="楷体" w:hAnsi="楷体" w:eastAsia="楷体"/>
                <w:b/>
                <w:color w:val="4472C4"/>
                <w:sz w:val="21"/>
              </w:rPr>
              <w:t>练，内容涵盖理解电流的形成条件、方向规定，掌握电压与电位的关系及参考方向的设定。</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3</w:t>
      </w:r>
      <w:r>
        <w:rPr>
          <w:rFonts w:ascii="宋体" w:hAnsi="宋体" w:eastAsia="宋体"/>
          <w:b/>
          <w:sz w:val="28"/>
        </w:rPr>
        <w:t>练  电流与电压</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表示电流大小的国际单位是（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伏特</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欧姆</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安培</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瓦特</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电流大小表示单位时间内通过导体横截面的电荷量，国际单位是安培。伏特用于表示电压，欧姆用于表示电阻，瓦特用于表示功率。</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测量某元件两端电压时，电压表在电路中的接入方式应为（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串联接入被测支路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并联接在被测两端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跨接在电源开关处</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串接在电源负极侧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电压是两点之间的电位差，测量时应使电压表与被测元件两端相接。若串联接入支路，会改变原电路工作状态，不能正确测出该元件两端电压。</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某支路电流按选定方向标注，计算结果为负值，说明实际电流（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沿选定方向流动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沿相反方向流动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由低位端流出</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由中性点流入</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电流参考方向是人为选定的方向，计算值为负表示实际方向与所选方向相反。负号不是表示电流不存在，而是表示方向判断与假定方向不一致。</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用数字电压表测量直流电源两端电压时，显示值前出现负号，较可能的原因是（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表笔极性接反</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量程选择过大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导线电阻偏小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电源容量偏高</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直流电压测量有极性要求，红表笔和黑表笔接反时，数字表通常显示负值。量程过大只会影响读数精度，一般不会使读数符号变为负号。</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对同一支路电流，若只把参考方向改为原来的反向，下列结论正确的有（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数值符号会改变</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实际方向不改变</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电荷种类会改变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元件连接会改变</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参考方向只是分析电路时人为选定的方向，改变参考方向会使代数量的符号改变。支路中电荷的实际运动状态和电路连接方式并不会因标注方向改变而改变。</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用万用表测量控制板上各点电位时，下列做法正确的有（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先确定零电位点</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黑表笔接参考点</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红表笔接待测点</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每测一点更换参考点</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电位是某点相对于参考点的电压，测量前必须确定同一个零电位参考点。直流测量时通常黑表笔接参考点、红表笔接待测点，若频繁更换参考点，各点电位就不便比较。</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下列关于关联参考方向和非关联参考方向的判断，正确的有（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两者同向可取关联</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两者反向可取非关联</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计算符号用于判别实际</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负号表示计算无意义</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在电路分析中，元件电压参考方向与电流参考方向配合使用，可形成关联或非关联参考方向。计算结果的正负能帮助判断实际方向或实际极性，负号本身具有明确物理意义。</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已知同一参考点下，</w:t>
      </w:r>
      <w:r>
        <w:rPr>
          <w:rFonts w:ascii="Times New Roman" w:hAnsi="Times New Roman" w:eastAsia="Times New Roman"/>
          <w:b w:val="0"/>
          <w:sz w:val="21"/>
        </w:rPr>
        <w:t>A</w:t>
      </w:r>
      <w:r>
        <w:rPr>
          <w:rFonts w:ascii="宋体" w:hAnsi="宋体" w:eastAsia="宋体"/>
          <w:b w:val="0"/>
          <w:sz w:val="21"/>
        </w:rPr>
        <w:t>点电位为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点电位为</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A</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之间接有</w:t>
      </w:r>
      <w:r>
        <w:rPr>
          <w:rFonts w:ascii="Times New Roman" w:hAnsi="Times New Roman" w:eastAsia="Times New Roman"/>
          <w:b w:val="0"/>
          <w:sz w:val="21"/>
        </w:rPr>
        <w:t>4</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电阻，电流参考方向取</w:t>
      </w:r>
      <w:r>
        <w:rPr>
          <w:rFonts w:ascii="Times New Roman" w:hAnsi="Times New Roman" w:eastAsia="Times New Roman"/>
          <w:b w:val="0"/>
          <w:sz w:val="21"/>
        </w:rPr>
        <w:t>B</w:t>
      </w:r>
      <w:r>
        <w:rPr>
          <w:rFonts w:ascii="宋体" w:hAnsi="宋体" w:eastAsia="宋体"/>
          <w:b w:val="0"/>
          <w:sz w:val="21"/>
        </w:rPr>
        <w:t>到</w:t>
      </w:r>
      <w:r>
        <w:rPr>
          <w:rFonts w:ascii="Times New Roman" w:hAnsi="Times New Roman" w:eastAsia="Times New Roman"/>
          <w:b w:val="0"/>
          <w:sz w:val="21"/>
        </w:rPr>
        <w:t>A</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UAB</w:t>
            </w:r>
            <w:r>
              <w:rPr>
                <w:rFonts w:ascii="宋体" w:hAnsi="宋体" w:eastAsia="宋体"/>
                <w:b w:val="0"/>
                <w:sz w:val="21"/>
              </w:rPr>
              <w:t>为</w:t>
            </w:r>
            <w:r>
              <w:rPr>
                <w:rFonts w:ascii="Times New Roman" w:hAnsi="Times New Roman" w:eastAsia="Times New Roman"/>
                <w:b w:val="0"/>
                <w:sz w:val="21"/>
              </w:rPr>
              <w:t>8</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UBA</w:t>
            </w:r>
            <w:r>
              <w:rPr>
                <w:rFonts w:ascii="宋体" w:hAnsi="宋体" w:eastAsia="宋体"/>
                <w:b w:val="0"/>
                <w:sz w:val="21"/>
              </w:rPr>
              <w:t>为</w:t>
            </w:r>
            <w:r>
              <w:rPr>
                <w:rFonts w:ascii="Times New Roman" w:hAnsi="Times New Roman" w:eastAsia="Times New Roman"/>
                <w:b w:val="0"/>
                <w:sz w:val="21"/>
              </w:rPr>
              <w:t>-8</w:t>
            </w:r>
            <w:r>
              <w:rPr>
                <w:rFonts w:ascii="宋体" w:hAnsi="宋体" w:eastAsia="宋体"/>
                <w:b w:val="0"/>
                <w:sz w:val="21"/>
              </w:rPr>
              <w:t xml:space="preserve"> </w:t>
            </w:r>
            <w:r>
              <w:rPr>
                <w:rFonts w:ascii="Times New Roman" w:hAnsi="Times New Roman" w:eastAsia="Times New Roman"/>
                <w:b w:val="0"/>
                <w:sz w:val="21"/>
              </w:rPr>
              <w:t>V</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IBA</w:t>
            </w:r>
            <w:r>
              <w:rPr>
                <w:rFonts w:ascii="宋体" w:hAnsi="宋体" w:eastAsia="宋体"/>
                <w:b w:val="0"/>
                <w:sz w:val="21"/>
              </w:rPr>
              <w:t>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A</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实际流向为</w:t>
            </w:r>
            <w:r>
              <w:rPr>
                <w:rFonts w:ascii="Times New Roman" w:hAnsi="Times New Roman" w:eastAsia="Times New Roman"/>
                <w:b w:val="0"/>
                <w:sz w:val="21"/>
              </w:rPr>
              <w:t>A</w:t>
            </w:r>
            <w:r>
              <w:rPr>
                <w:rFonts w:ascii="宋体" w:hAnsi="宋体" w:eastAsia="宋体"/>
                <w:b w:val="0"/>
                <w:sz w:val="21"/>
              </w:rPr>
              <w:t>到</w:t>
            </w:r>
            <w:r>
              <w:rPr>
                <w:rFonts w:ascii="Times New Roman" w:hAnsi="Times New Roman" w:eastAsia="Times New Roman"/>
                <w:b w:val="0"/>
                <w:sz w:val="21"/>
              </w:rPr>
              <w:t>B</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A</w:t>
      </w:r>
      <w:r>
        <w:rPr>
          <w:rFonts w:ascii="宋体" w:hAnsi="宋体" w:eastAsia="宋体"/>
          <w:b w:val="0"/>
          <w:color w:val="FF0000"/>
          <w:sz w:val="21"/>
        </w:rPr>
        <w:t>点电位高于</w:t>
      </w:r>
      <w:r>
        <w:rPr>
          <w:rFonts w:ascii="Times New Roman" w:hAnsi="Times New Roman" w:eastAsia="Times New Roman"/>
          <w:b w:val="0"/>
          <w:color w:val="FF0000"/>
          <w:sz w:val="21"/>
        </w:rPr>
        <w:t>B</w:t>
      </w:r>
      <w:r>
        <w:rPr>
          <w:rFonts w:ascii="宋体" w:hAnsi="宋体" w:eastAsia="宋体"/>
          <w:b w:val="0"/>
          <w:color w:val="FF0000"/>
          <w:sz w:val="21"/>
        </w:rPr>
        <w:t>点电位，</w:t>
      </w:r>
      <w:r>
        <w:rPr>
          <w:rFonts w:ascii="Times New Roman" w:hAnsi="Times New Roman" w:eastAsia="Times New Roman"/>
          <w:b w:val="0"/>
          <w:color w:val="FF0000"/>
          <w:sz w:val="21"/>
        </w:rPr>
        <w:t>A</w:t>
      </w:r>
      <w:r>
        <w:rPr>
          <w:rFonts w:ascii="宋体" w:hAnsi="宋体" w:eastAsia="宋体"/>
          <w:b w:val="0"/>
          <w:color w:val="FF0000"/>
          <w:sz w:val="21"/>
        </w:rPr>
        <w:t>、</w:t>
      </w:r>
      <w:r>
        <w:rPr>
          <w:rFonts w:ascii="Times New Roman" w:hAnsi="Times New Roman" w:eastAsia="Times New Roman"/>
          <w:b w:val="0"/>
          <w:color w:val="FF0000"/>
          <w:sz w:val="21"/>
        </w:rPr>
        <w:t>B</w:t>
      </w:r>
      <w:r>
        <w:rPr>
          <w:rFonts w:ascii="宋体" w:hAnsi="宋体" w:eastAsia="宋体"/>
          <w:b w:val="0"/>
          <w:color w:val="FF0000"/>
          <w:sz w:val="21"/>
        </w:rPr>
        <w:t>两点间电压为</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减去</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，结果为</w:t>
      </w:r>
      <w:r>
        <w:rPr>
          <w:rFonts w:ascii="Times New Roman" w:hAnsi="Times New Roman" w:eastAsia="Times New Roman"/>
          <w:b w:val="0"/>
          <w:color w:val="FF0000"/>
          <w:sz w:val="21"/>
        </w:rPr>
        <w:t>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，所以反向电压为</w:t>
      </w:r>
      <w:r>
        <w:rPr>
          <w:rFonts w:ascii="Times New Roman" w:hAnsi="Times New Roman" w:eastAsia="Times New Roman"/>
          <w:b w:val="0"/>
          <w:color w:val="FF0000"/>
          <w:sz w:val="21"/>
        </w:rPr>
        <w:t>-8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。电阻中实际电流由高电位端流向低电位端，因此实际流向为</w:t>
      </w:r>
      <w:r>
        <w:rPr>
          <w:rFonts w:ascii="Times New Roman" w:hAnsi="Times New Roman" w:eastAsia="Times New Roman"/>
          <w:b w:val="0"/>
          <w:color w:val="FF0000"/>
          <w:sz w:val="21"/>
        </w:rPr>
        <w:t>A</w:t>
      </w:r>
      <w:r>
        <w:rPr>
          <w:rFonts w:ascii="宋体" w:hAnsi="宋体" w:eastAsia="宋体"/>
          <w:b w:val="0"/>
          <w:color w:val="FF0000"/>
          <w:sz w:val="21"/>
        </w:rPr>
        <w:t>到</w:t>
      </w:r>
      <w:r>
        <w:rPr>
          <w:rFonts w:ascii="Times New Roman" w:hAnsi="Times New Roman" w:eastAsia="Times New Roman"/>
          <w:b w:val="0"/>
          <w:color w:val="FF0000"/>
          <w:sz w:val="21"/>
        </w:rPr>
        <w:t>B</w:t>
      </w:r>
      <w:r>
        <w:rPr>
          <w:rFonts w:ascii="宋体" w:hAnsi="宋体" w:eastAsia="宋体"/>
          <w:b w:val="0"/>
          <w:color w:val="FF0000"/>
          <w:sz w:val="21"/>
        </w:rPr>
        <w:t>，按</w:t>
      </w:r>
      <w:r>
        <w:rPr>
          <w:rFonts w:ascii="Times New Roman" w:hAnsi="Times New Roman" w:eastAsia="Times New Roman"/>
          <w:b w:val="0"/>
          <w:color w:val="FF0000"/>
          <w:sz w:val="21"/>
        </w:rPr>
        <w:t>B</w:t>
      </w:r>
      <w:r>
        <w:rPr>
          <w:rFonts w:ascii="宋体" w:hAnsi="宋体" w:eastAsia="宋体"/>
          <w:b w:val="0"/>
          <w:color w:val="FF0000"/>
          <w:sz w:val="21"/>
        </w:rPr>
        <w:t>到</w:t>
      </w:r>
      <w:r>
        <w:rPr>
          <w:rFonts w:ascii="Times New Roman" w:hAnsi="Times New Roman" w:eastAsia="Times New Roman"/>
          <w:b w:val="0"/>
          <w:color w:val="FF0000"/>
          <w:sz w:val="21"/>
        </w:rPr>
        <w:t>A</w:t>
      </w:r>
      <w:r>
        <w:rPr>
          <w:rFonts w:ascii="宋体" w:hAnsi="宋体" w:eastAsia="宋体"/>
          <w:b w:val="0"/>
          <w:color w:val="FF0000"/>
          <w:sz w:val="21"/>
        </w:rPr>
        <w:t>取参考方向时电流值应为负。</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习惯上规定正电荷定向移动的方向为电流方向。（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电流方向是人为规定的方向，通常规定正电荷定向移动的方向为电流方向。在金属导体中，自由电子实际移动方向与规定方向相反。</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电路中某点电位的大小与零电位参考点的选择无关。（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某点电位是该点相对于参考点的电压，参考点不同，该点电位数值可能不同。但任意两点之间的电压由两点电位差决定，在同一参考点下可直接相减求得。</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两个节点间的电压只由这两点的电位差决定，与所选连接路径无关。（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电压表示两点之间的电位差，只要两点确定，其电压就确定。计算时应注意电压下标顺序，不同顺序会使符号相反。</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测量直流电压前不必判断表笔极性，只要量程足够大就能得到正读数。（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直流电压测量需要注意表笔极性，接反时指针表可能反偏，数字表可能显示负值。量程大小只能影响安全和读数范围，不能代替极性判断。</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简述在直流电路图中标注电流参考方向的注意事项。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）电流参考方向可根据分析需要先行假定，但同一支路在计算过程中应保持一致。</w:t>
        <w:br/>
        <w:t>（</w:t>
      </w:r>
      <w:r>
        <w:rPr>
          <w:rFonts w:ascii="Times New Roman" w:hAnsi="Times New Roman" w:eastAsia="Times New Roman"/>
          <w:b w:val="0"/>
          <w:color w:val="FF0000"/>
          <w:sz w:val="21"/>
        </w:rPr>
        <w:t>2</w:t>
      </w:r>
      <w:r>
        <w:rPr>
          <w:rFonts w:ascii="宋体" w:hAnsi="宋体" w:eastAsia="宋体"/>
          <w:b w:val="0"/>
          <w:color w:val="FF0000"/>
          <w:sz w:val="21"/>
        </w:rPr>
        <w:t>）计算结果为正时，说明实际方向与假定方向相同；计算结果为负时，说明实际方向与假定方向相反。</w:t>
        <w:br/>
        <w:t>（</w:t>
      </w:r>
      <w:r>
        <w:rPr>
          <w:rFonts w:ascii="Times New Roman" w:hAnsi="Times New Roman" w:eastAsia="Times New Roman"/>
          <w:b w:val="0"/>
          <w:color w:val="FF0000"/>
          <w:sz w:val="21"/>
        </w:rPr>
        <w:t>3</w:t>
      </w:r>
      <w:r>
        <w:rPr>
          <w:rFonts w:ascii="宋体" w:hAnsi="宋体" w:eastAsia="宋体"/>
          <w:b w:val="0"/>
          <w:color w:val="FF0000"/>
          <w:sz w:val="21"/>
        </w:rPr>
        <w:t>）标注电流参考方向时应结合元件电压参考方向，便于判断功率吸收或电路工作状态。</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本题考查电流参考方向的设定与计算结果的理解。答题时应抓住“可假定、要一致、看符号、能判断”的思路，避免把参考方向误认为电流的实际方向。</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已知某导体横截面在</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内通过的电荷量为</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C</w:t>
      </w:r>
      <w:r>
        <w:rPr>
          <w:rFonts w:ascii="宋体" w:hAnsi="宋体" w:eastAsia="宋体"/>
          <w:b w:val="0"/>
          <w:sz w:val="21"/>
        </w:rPr>
        <w:t>，求通过该导体的电流大小。</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根据电流定义，电流大小</w:t>
      </w:r>
      <w:r>
        <w:rPr>
          <w:rFonts w:ascii="Times New Roman" w:hAnsi="Times New Roman" w:eastAsia="Times New Roman"/>
          <w:b w:val="0"/>
          <w:color w:val="FF0000"/>
          <w:sz w:val="21"/>
        </w:rPr>
        <w:t>I=Q/t</w:t>
      </w:r>
      <w:r>
        <w:rPr>
          <w:rFonts w:ascii="宋体" w:hAnsi="宋体" w:eastAsia="宋体"/>
          <w:b w:val="0"/>
          <w:color w:val="FF0000"/>
          <w:sz w:val="21"/>
        </w:rPr>
        <w:t>。代入数据得</w:t>
      </w:r>
      <w:r>
        <w:rPr>
          <w:rFonts w:ascii="Times New Roman" w:hAnsi="Times New Roman" w:eastAsia="Times New Roman"/>
          <w:b w:val="0"/>
          <w:color w:val="FF0000"/>
          <w:sz w:val="21"/>
        </w:rPr>
        <w:t>I=18/6=3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。计算结果为</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，因此通过该导体的电流大小为</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某传感器接在</w:t>
      </w:r>
      <w:r>
        <w:rPr>
          <w:rFonts w:ascii="Times New Roman" w:hAnsi="Times New Roman" w:eastAsia="Times New Roman"/>
          <w:b w:val="0"/>
          <w:sz w:val="21"/>
        </w:rPr>
        <w:t>P</w:t>
      </w:r>
      <w:r>
        <w:rPr>
          <w:rFonts w:ascii="宋体" w:hAnsi="宋体" w:eastAsia="宋体"/>
          <w:b w:val="0"/>
          <w:sz w:val="21"/>
        </w:rPr>
        <w:t>、</w:t>
      </w:r>
      <w:r>
        <w:rPr>
          <w:rFonts w:ascii="Times New Roman" w:hAnsi="Times New Roman" w:eastAsia="Times New Roman"/>
          <w:b w:val="0"/>
          <w:sz w:val="21"/>
        </w:rPr>
        <w:t>Q</w:t>
      </w:r>
      <w:r>
        <w:rPr>
          <w:rFonts w:ascii="宋体" w:hAnsi="宋体" w:eastAsia="宋体"/>
          <w:b w:val="0"/>
          <w:sz w:val="21"/>
        </w:rPr>
        <w:t>两点之间，电阻为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，电流参考方向取</w:t>
      </w:r>
      <w:r>
        <w:rPr>
          <w:rFonts w:ascii="Times New Roman" w:hAnsi="Times New Roman" w:eastAsia="Times New Roman"/>
          <w:b w:val="0"/>
          <w:sz w:val="21"/>
        </w:rPr>
        <w:t>P</w:t>
      </w:r>
      <w:r>
        <w:rPr>
          <w:rFonts w:ascii="宋体" w:hAnsi="宋体" w:eastAsia="宋体"/>
          <w:b w:val="0"/>
          <w:sz w:val="21"/>
        </w:rPr>
        <w:t>到</w:t>
      </w:r>
      <w:r>
        <w:rPr>
          <w:rFonts w:ascii="Times New Roman" w:hAnsi="Times New Roman" w:eastAsia="Times New Roman"/>
          <w:b w:val="0"/>
          <w:sz w:val="21"/>
        </w:rPr>
        <w:t>Q</w:t>
      </w:r>
      <w:r>
        <w:rPr>
          <w:rFonts w:ascii="宋体" w:hAnsi="宋体" w:eastAsia="宋体"/>
          <w:b w:val="0"/>
          <w:sz w:val="21"/>
        </w:rPr>
        <w:t>，测得电流为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，且</w:t>
      </w:r>
      <w:r>
        <w:rPr>
          <w:rFonts w:ascii="Times New Roman" w:hAnsi="Times New Roman" w:eastAsia="Times New Roman"/>
          <w:b w:val="0"/>
          <w:sz w:val="21"/>
        </w:rPr>
        <w:t>Q</w:t>
      </w:r>
      <w:r>
        <w:rPr>
          <w:rFonts w:ascii="宋体" w:hAnsi="宋体" w:eastAsia="宋体"/>
          <w:b w:val="0"/>
          <w:sz w:val="21"/>
        </w:rPr>
        <w:t>点电位为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w:t>
      </w:r>
      <w:r>
        <w:rPr>
          <w:rFonts w:ascii="Times New Roman" w:hAnsi="Times New Roman" w:eastAsia="Times New Roman"/>
          <w:b w:val="0"/>
          <w:sz w:val="21"/>
        </w:rPr>
        <w:t>P</w:t>
      </w:r>
      <w:r>
        <w:rPr>
          <w:rFonts w:ascii="宋体" w:hAnsi="宋体" w:eastAsia="宋体"/>
          <w:b w:val="0"/>
          <w:sz w:val="21"/>
        </w:rPr>
        <w:t>、</w:t>
      </w:r>
      <w:r>
        <w:rPr>
          <w:rFonts w:ascii="Times New Roman" w:hAnsi="Times New Roman" w:eastAsia="Times New Roman"/>
          <w:b w:val="0"/>
          <w:sz w:val="21"/>
        </w:rPr>
        <w:t>Q</w:t>
      </w:r>
      <w:r>
        <w:rPr>
          <w:rFonts w:ascii="宋体" w:hAnsi="宋体" w:eastAsia="宋体"/>
          <w:b w:val="0"/>
          <w:sz w:val="21"/>
        </w:rPr>
        <w:t>两点间电压</w:t>
      </w:r>
      <w:r>
        <w:rPr>
          <w:rFonts w:ascii="Times New Roman" w:hAnsi="Times New Roman" w:eastAsia="Times New Roman"/>
          <w:b w:val="0"/>
          <w:sz w:val="21"/>
        </w:rPr>
        <w:t>UPQ</w:t>
      </w:r>
      <w:r>
        <w:rPr>
          <w:rFonts w:ascii="宋体" w:hAnsi="宋体" w:eastAsia="宋体"/>
          <w:b w:val="0"/>
          <w:sz w:val="21"/>
        </w:rPr>
        <w:t>；（</w:t>
      </w:r>
      <w:r>
        <w:rPr>
          <w:rFonts w:ascii="Times New Roman" w:hAnsi="Times New Roman" w:eastAsia="Times New Roman"/>
          <w:b w:val="0"/>
          <w:sz w:val="21"/>
        </w:rPr>
        <w:t>2</w:t>
      </w:r>
      <w:r>
        <w:rPr>
          <w:rFonts w:ascii="宋体" w:hAnsi="宋体" w:eastAsia="宋体"/>
          <w:b w:val="0"/>
          <w:sz w:val="21"/>
        </w:rPr>
        <w:t>）</w:t>
      </w:r>
      <w:r>
        <w:rPr>
          <w:rFonts w:ascii="Times New Roman" w:hAnsi="Times New Roman" w:eastAsia="Times New Roman"/>
          <w:b w:val="0"/>
          <w:sz w:val="21"/>
        </w:rPr>
        <w:t>P</w:t>
      </w:r>
      <w:r>
        <w:rPr>
          <w:rFonts w:ascii="宋体" w:hAnsi="宋体" w:eastAsia="宋体"/>
          <w:b w:val="0"/>
          <w:sz w:val="21"/>
        </w:rPr>
        <w:t>点电位；（</w:t>
      </w:r>
      <w:r>
        <w:rPr>
          <w:rFonts w:ascii="Times New Roman" w:hAnsi="Times New Roman" w:eastAsia="Times New Roman"/>
          <w:b w:val="0"/>
          <w:sz w:val="21"/>
        </w:rPr>
        <w:t>3</w:t>
      </w:r>
      <w:r>
        <w:rPr>
          <w:rFonts w:ascii="宋体" w:hAnsi="宋体" w:eastAsia="宋体"/>
          <w:b w:val="0"/>
          <w:sz w:val="21"/>
        </w:rPr>
        <w:t>）判断</w:t>
      </w:r>
      <w:r>
        <w:rPr>
          <w:rFonts w:ascii="Times New Roman" w:hAnsi="Times New Roman" w:eastAsia="Times New Roman"/>
          <w:b w:val="0"/>
          <w:sz w:val="21"/>
        </w:rPr>
        <w:t>P</w:t>
      </w:r>
      <w:r>
        <w:rPr>
          <w:rFonts w:ascii="宋体" w:hAnsi="宋体" w:eastAsia="宋体"/>
          <w:b w:val="0"/>
          <w:sz w:val="21"/>
        </w:rPr>
        <w:t>、</w:t>
      </w:r>
      <w:r>
        <w:rPr>
          <w:rFonts w:ascii="Times New Roman" w:hAnsi="Times New Roman" w:eastAsia="Times New Roman"/>
          <w:b w:val="0"/>
          <w:sz w:val="21"/>
        </w:rPr>
        <w:t>Q</w:t>
      </w:r>
      <w:r>
        <w:rPr>
          <w:rFonts w:ascii="宋体" w:hAnsi="宋体" w:eastAsia="宋体"/>
          <w:b w:val="0"/>
          <w:sz w:val="21"/>
        </w:rPr>
        <w:t>两点哪一点电位较高。</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UPQ</w:t>
      </w:r>
      <w:r>
        <w:rPr>
          <w:rFonts w:ascii="宋体" w:hAnsi="宋体" w:eastAsia="宋体"/>
          <w:b w:val="0"/>
          <w:color w:val="FF0000"/>
          <w:sz w:val="21"/>
        </w:rPr>
        <w:t>为</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P</w:t>
      </w:r>
      <w:r>
        <w:rPr>
          <w:rFonts w:ascii="宋体" w:hAnsi="宋体" w:eastAsia="宋体"/>
          <w:b w:val="0"/>
          <w:color w:val="FF0000"/>
          <w:sz w:val="21"/>
        </w:rPr>
        <w:t>点电位为</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P</w:t>
      </w:r>
      <w:r>
        <w:rPr>
          <w:rFonts w:ascii="宋体" w:hAnsi="宋体" w:eastAsia="宋体"/>
          <w:b w:val="0"/>
          <w:color w:val="FF0000"/>
          <w:sz w:val="21"/>
        </w:rPr>
        <w:t>点电位较高</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）根据欧姆定律，电压</w:t>
      </w:r>
      <w:r>
        <w:rPr>
          <w:rFonts w:ascii="Times New Roman" w:hAnsi="Times New Roman" w:eastAsia="Times New Roman"/>
          <w:b w:val="0"/>
          <w:color w:val="FF0000"/>
          <w:sz w:val="21"/>
        </w:rPr>
        <w:t>UPQ=IR</w:t>
      </w:r>
      <w:r>
        <w:rPr>
          <w:rFonts w:ascii="宋体" w:hAnsi="宋体" w:eastAsia="宋体"/>
          <w:b w:val="0"/>
          <w:color w:val="FF0000"/>
          <w:sz w:val="21"/>
        </w:rPr>
        <w:t>。代入数据得</w:t>
      </w:r>
      <w:r>
        <w:rPr>
          <w:rFonts w:ascii="Times New Roman" w:hAnsi="Times New Roman" w:eastAsia="Times New Roman"/>
          <w:b w:val="0"/>
          <w:color w:val="FF0000"/>
          <w:sz w:val="21"/>
        </w:rPr>
        <w:t>UPQ=0.003×2000=6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w:t>
      </w:r>
      <w:r>
        <w:rPr>
          <w:rFonts w:ascii="Times New Roman" w:hAnsi="Times New Roman" w:eastAsia="Times New Roman"/>
          <w:b w:val="0"/>
          <w:color w:val="FF0000"/>
          <w:sz w:val="21"/>
        </w:rPr>
        <w:t>P</w:t>
      </w:r>
      <w:r>
        <w:rPr>
          <w:rFonts w:ascii="宋体" w:hAnsi="宋体" w:eastAsia="宋体"/>
          <w:b w:val="0"/>
          <w:color w:val="FF0000"/>
          <w:sz w:val="21"/>
        </w:rPr>
        <w:t>、</w:t>
      </w:r>
      <w:r>
        <w:rPr>
          <w:rFonts w:ascii="Times New Roman" w:hAnsi="Times New Roman" w:eastAsia="Times New Roman"/>
          <w:b w:val="0"/>
          <w:color w:val="FF0000"/>
          <w:sz w:val="21"/>
        </w:rPr>
        <w:t>Q</w:t>
      </w:r>
      <w:r>
        <w:rPr>
          <w:rFonts w:ascii="宋体" w:hAnsi="宋体" w:eastAsia="宋体"/>
          <w:b w:val="0"/>
          <w:color w:val="FF0000"/>
          <w:sz w:val="21"/>
        </w:rPr>
        <w:t>两点间电压为</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）根据</w:t>
      </w:r>
      <w:r>
        <w:rPr>
          <w:rFonts w:ascii="Times New Roman" w:hAnsi="Times New Roman" w:eastAsia="Times New Roman"/>
          <w:b w:val="0"/>
          <w:color w:val="FF0000"/>
          <w:sz w:val="21"/>
        </w:rPr>
        <w:t>UPQ</w:t>
      </w:r>
      <w:r>
        <w:rPr>
          <w:rFonts w:ascii="宋体" w:hAnsi="宋体" w:eastAsia="宋体"/>
          <w:b w:val="0"/>
          <w:color w:val="FF0000"/>
          <w:sz w:val="21"/>
        </w:rPr>
        <w:t>表示</w:t>
      </w:r>
      <w:r>
        <w:rPr>
          <w:rFonts w:ascii="Times New Roman" w:hAnsi="Times New Roman" w:eastAsia="Times New Roman"/>
          <w:b w:val="0"/>
          <w:color w:val="FF0000"/>
          <w:sz w:val="21"/>
        </w:rPr>
        <w:t>P</w:t>
      </w:r>
      <w:r>
        <w:rPr>
          <w:rFonts w:ascii="宋体" w:hAnsi="宋体" w:eastAsia="宋体"/>
          <w:b w:val="0"/>
          <w:color w:val="FF0000"/>
          <w:sz w:val="21"/>
        </w:rPr>
        <w:t>点电位减去</w:t>
      </w:r>
      <w:r>
        <w:rPr>
          <w:rFonts w:ascii="Times New Roman" w:hAnsi="Times New Roman" w:eastAsia="Times New Roman"/>
          <w:b w:val="0"/>
          <w:color w:val="FF0000"/>
          <w:sz w:val="21"/>
        </w:rPr>
        <w:t>Q</w:t>
      </w:r>
      <w:r>
        <w:rPr>
          <w:rFonts w:ascii="宋体" w:hAnsi="宋体" w:eastAsia="宋体"/>
          <w:b w:val="0"/>
          <w:color w:val="FF0000"/>
          <w:sz w:val="21"/>
        </w:rPr>
        <w:t>点电位，可得</w:t>
      </w:r>
      <w:r>
        <w:rPr>
          <w:rFonts w:ascii="Times New Roman" w:hAnsi="Times New Roman" w:eastAsia="Times New Roman"/>
          <w:b w:val="0"/>
          <w:color w:val="FF0000"/>
          <w:sz w:val="21"/>
        </w:rPr>
        <w:t>P</w:t>
      </w:r>
      <w:r>
        <w:rPr>
          <w:rFonts w:ascii="宋体" w:hAnsi="宋体" w:eastAsia="宋体"/>
          <w:b w:val="0"/>
          <w:color w:val="FF0000"/>
          <w:sz w:val="21"/>
        </w:rPr>
        <w:t>点电位为</w:t>
      </w:r>
      <w:r>
        <w:rPr>
          <w:rFonts w:ascii="Times New Roman" w:hAnsi="Times New Roman" w:eastAsia="Times New Roman"/>
          <w:b w:val="0"/>
          <w:color w:val="FF0000"/>
          <w:sz w:val="21"/>
        </w:rPr>
        <w:t>Q</w:t>
      </w:r>
      <w:r>
        <w:rPr>
          <w:rFonts w:ascii="宋体" w:hAnsi="宋体" w:eastAsia="宋体"/>
          <w:b w:val="0"/>
          <w:color w:val="FF0000"/>
          <w:sz w:val="21"/>
        </w:rPr>
        <w:t>点电位加</w:t>
      </w:r>
      <w:r>
        <w:rPr>
          <w:rFonts w:ascii="Times New Roman" w:hAnsi="Times New Roman" w:eastAsia="Times New Roman"/>
          <w:b w:val="0"/>
          <w:color w:val="FF0000"/>
          <w:sz w:val="21"/>
        </w:rPr>
        <w:t>UPQ</w:t>
      </w:r>
      <w:r>
        <w:rPr>
          <w:rFonts w:ascii="宋体" w:hAnsi="宋体" w:eastAsia="宋体"/>
          <w:b w:val="0"/>
          <w:color w:val="FF0000"/>
          <w:sz w:val="21"/>
        </w:rPr>
        <w:t>。代入数据得</w:t>
      </w:r>
      <w:r>
        <w:rPr>
          <w:rFonts w:ascii="Times New Roman" w:hAnsi="Times New Roman" w:eastAsia="Times New Roman"/>
          <w:b w:val="0"/>
          <w:color w:val="FF0000"/>
          <w:sz w:val="21"/>
        </w:rPr>
        <w:t>P</w:t>
      </w:r>
      <w:r>
        <w:rPr>
          <w:rFonts w:ascii="宋体" w:hAnsi="宋体" w:eastAsia="宋体"/>
          <w:b w:val="0"/>
          <w:color w:val="FF0000"/>
          <w:sz w:val="21"/>
        </w:rPr>
        <w:t>点电位为</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加</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，计算结果为</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P</w:t>
      </w:r>
      <w:r>
        <w:rPr>
          <w:rFonts w:ascii="宋体" w:hAnsi="宋体" w:eastAsia="宋体"/>
          <w:b w:val="0"/>
          <w:color w:val="FF0000"/>
          <w:sz w:val="21"/>
        </w:rPr>
        <w:t>点电位为</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r>
        <w:rPr>
          <w:rFonts w:ascii="Times New Roman" w:hAnsi="Times New Roman" w:eastAsia="Times New Roman"/>
          <w:b w:val="0"/>
          <w:color w:val="FF0000"/>
          <w:sz w:val="21"/>
        </w:rPr>
        <w:t>Q</w:t>
      </w:r>
      <w:r>
        <w:rPr>
          <w:rFonts w:ascii="宋体" w:hAnsi="宋体" w:eastAsia="宋体"/>
          <w:b w:val="0"/>
          <w:color w:val="FF0000"/>
          <w:sz w:val="21"/>
        </w:rPr>
        <w:t>点电位为</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r>
        <w:rPr>
          <w:rFonts w:ascii="Times New Roman" w:hAnsi="Times New Roman" w:eastAsia="Times New Roman"/>
          <w:b w:val="0"/>
          <w:color w:val="FF0000"/>
          <w:sz w:val="21"/>
        </w:rPr>
        <w:t>P</w:t>
      </w:r>
      <w:r>
        <w:rPr>
          <w:rFonts w:ascii="宋体" w:hAnsi="宋体" w:eastAsia="宋体"/>
          <w:b w:val="0"/>
          <w:color w:val="FF0000"/>
          <w:sz w:val="21"/>
        </w:rPr>
        <w:t>点电位高于</w:t>
      </w:r>
      <w:r>
        <w:rPr>
          <w:rFonts w:ascii="Times New Roman" w:hAnsi="Times New Roman" w:eastAsia="Times New Roman"/>
          <w:b w:val="0"/>
          <w:color w:val="FF0000"/>
          <w:sz w:val="21"/>
        </w:rPr>
        <w:t>Q</w:t>
      </w:r>
      <w:r>
        <w:rPr>
          <w:rFonts w:ascii="宋体" w:hAnsi="宋体" w:eastAsia="宋体"/>
          <w:b w:val="0"/>
          <w:color w:val="FF0000"/>
          <w:sz w:val="21"/>
        </w:rPr>
        <w:t>点。电阻中实际电流也应从高电位端流向低电位端，与题中</w:t>
      </w:r>
      <w:r>
        <w:rPr>
          <w:rFonts w:ascii="Times New Roman" w:hAnsi="Times New Roman" w:eastAsia="Times New Roman"/>
          <w:b w:val="0"/>
          <w:color w:val="FF0000"/>
          <w:sz w:val="21"/>
        </w:rPr>
        <w:t>P</w:t>
      </w:r>
      <w:r>
        <w:rPr>
          <w:rFonts w:ascii="宋体" w:hAnsi="宋体" w:eastAsia="宋体"/>
          <w:b w:val="0"/>
          <w:color w:val="FF0000"/>
          <w:sz w:val="21"/>
        </w:rPr>
        <w:t>到</w:t>
      </w:r>
      <w:r>
        <w:rPr>
          <w:rFonts w:ascii="Times New Roman" w:hAnsi="Times New Roman" w:eastAsia="Times New Roman"/>
          <w:b w:val="0"/>
          <w:color w:val="FF0000"/>
          <w:sz w:val="21"/>
        </w:rPr>
        <w:t>Q</w:t>
      </w:r>
      <w:r>
        <w:rPr>
          <w:rFonts w:ascii="宋体" w:hAnsi="宋体" w:eastAsia="宋体"/>
          <w:b w:val="0"/>
          <w:color w:val="FF0000"/>
          <w:sz w:val="21"/>
        </w:rPr>
        <w:t>的参考方向一致。</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