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练，内容涵盖理解功率因数的含义和提高方法，了解并联电容器补偿的原理和计算。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功率因数的提高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第四单元 单相正弦交流电路 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交流电路分析 第</w:t>
      </w:r>
      <w:r>
        <w:rPr>
          <w:rFonts w:ascii="Times New Roman" w:hAnsi="Times New Roman" w:eastAsia="Times New Roman"/>
          <w:b/>
          <w:sz w:val="28"/>
        </w:rPr>
        <w:t>31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在交流电路中，用来表示电源容量利用程度的系数是（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有功功率与视在功率的比值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无功功率与有功功率的比值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视在功率与有功功率的比值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电路电压与电流有效值的比值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功率因数反映有功功率在视在功率中所占的比例，数值越高，说明电源容量利用越充分。无功功率与有功功率的比值反映的是无功占用情况，不是功率因数。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在感性负载两端接入补偿元件后，该元件的主要作用是（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提供感性无功电流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提供容性无功电流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吸收全部有功电能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改变负载额定电压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感性负载需要滞后的无功电流，并联电容器可提供超前的容性无功电流，从而减少电源侧供给的无功电流。它不能吸收全部有功电能，也不用于改变负载额定电压。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感性负载运行时投入适量电容器，电源侧电流的变化过程主要表现为（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线路中有功电流明显增大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线路中有功电流明显减小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线路中滞后电流部分抵消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线路中总电流一定反向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电容器电流相位超前，可与感性负载的滞后无功电流部分抵消，使电源侧总电流减小。有功电流主要由负载实际消耗的有功功率决定，通常不会因补偿而明显改变。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某车间投入补偿柜后，总电流几乎不变，检查发现某一补偿支路没有电流，最可能的原因是（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负载绕组匝间短路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电源相序接线错误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电压表量程选择偏小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补偿支路熔断器断路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某一补偿支路没有电流，说明该支路可能未接入电路，熔断器断路会使电容器不能投入运行。负载绕组短路或相序错误不能直接说明单个补偿支路无电流。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感性负载并联适量电容器后，电路参数可能出现的变化有（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电源供给无功功率减少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负载消耗有功功率增加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线路中总电流减小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线路电压损失减小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并联电容器补偿后，电源侧提供的无功功率减少，总电流减小，线路压降也会随之减小。负载的有功功率主要由负载本身决定，适量补偿一般不使其明显增加。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对低压电容补偿装置进行检查或投切时，正确做法有（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停电后进行充分放电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送电时直接触摸端子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运行中追求过量补偿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按负载变化分组投切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电容器停电后仍可能带有残余电荷，检修前必须充分放电。按负载变化分组投切可避免欠补偿或过补偿，直接触摸端子和追求过量补偿都不符合安全与运行要求。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下列关于无功补偿方式的说法，正确的有（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并联电容主要减少无功交换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串联电阻主要提高负载效率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并联电容通常接在负载旁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串联电阻通常用于无功补偿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感性负载常采用并联电容器补偿，使无功电流在负载附近得到补偿，减少电源与负载之间的无功交换。串联电阻会消耗有功功率，一般不作为提高功率因数的补偿方法。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某单相感性负载有功功率为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，功率因数由</w:t>
      </w:r>
      <w:r>
        <w:rPr>
          <w:rFonts w:ascii="Times New Roman" w:hAnsi="Times New Roman" w:eastAsia="Times New Roman"/>
          <w:b w:val="0"/>
          <w:sz w:val="21"/>
        </w:rPr>
        <w:t>0.6</w:t>
      </w:r>
      <w:r>
        <w:rPr>
          <w:rFonts w:ascii="宋体" w:hAnsi="宋体" w:eastAsia="宋体"/>
          <w:b w:val="0"/>
          <w:sz w:val="21"/>
        </w:rPr>
        <w:t>提高到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>。已知</w:t>
      </w:r>
      <w:r>
        <w:rPr>
          <w:rFonts w:ascii="Times New Roman" w:hAnsi="Times New Roman" w:eastAsia="Times New Roman"/>
          <w:b w:val="0"/>
          <w:sz w:val="21"/>
        </w:rPr>
        <w:t>cosφ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0.6</w:t>
      </w:r>
      <w:r>
        <w:rPr>
          <w:rFonts w:ascii="宋体" w:hAnsi="宋体" w:eastAsia="宋体"/>
          <w:b w:val="0"/>
          <w:sz w:val="21"/>
        </w:rPr>
        <w:t>时</w:t>
      </w:r>
      <w:r>
        <w:rPr>
          <w:rFonts w:ascii="Times New Roman" w:hAnsi="Times New Roman" w:eastAsia="Times New Roman"/>
          <w:b w:val="0"/>
          <w:sz w:val="21"/>
        </w:rPr>
        <w:t>tanφ</w:t>
      </w:r>
      <w:r>
        <w:rPr>
          <w:rFonts w:ascii="宋体" w:hAnsi="宋体" w:eastAsia="宋体"/>
          <w:b w:val="0"/>
          <w:sz w:val="21"/>
        </w:rPr>
        <w:t>约为</w:t>
      </w:r>
      <w:r>
        <w:rPr>
          <w:rFonts w:ascii="Times New Roman" w:hAnsi="Times New Roman" w:eastAsia="Times New Roman"/>
          <w:b w:val="0"/>
          <w:sz w:val="21"/>
        </w:rPr>
        <w:t>1.33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cosφ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>时</w:t>
      </w:r>
      <w:r>
        <w:rPr>
          <w:rFonts w:ascii="Times New Roman" w:hAnsi="Times New Roman" w:eastAsia="Times New Roman"/>
          <w:b w:val="0"/>
          <w:sz w:val="21"/>
        </w:rPr>
        <w:t>tanφ</w:t>
      </w:r>
      <w:r>
        <w:rPr>
          <w:rFonts w:ascii="宋体" w:hAnsi="宋体" w:eastAsia="宋体"/>
          <w:b w:val="0"/>
          <w:sz w:val="21"/>
        </w:rPr>
        <w:t>约为</w:t>
      </w:r>
      <w:r>
        <w:rPr>
          <w:rFonts w:ascii="Times New Roman" w:hAnsi="Times New Roman" w:eastAsia="Times New Roman"/>
          <w:b w:val="0"/>
          <w:sz w:val="21"/>
        </w:rPr>
        <w:t>0.75</w:t>
      </w:r>
      <w:r>
        <w:rPr>
          <w:rFonts w:ascii="宋体" w:hAnsi="宋体" w:eastAsia="宋体"/>
          <w:b w:val="0"/>
          <w:sz w:val="21"/>
        </w:rPr>
        <w:t>，下列计算结果正确的有（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补偿容量约为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2.0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kvar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补偿容量约为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kvar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补偿后视在功率约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kVA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补偿后视在功率约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kVA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补偿容量按</w:t>
      </w:r>
      <w:r>
        <w:rPr>
          <w:rFonts w:ascii="Times New Roman" w:hAnsi="Times New Roman" w:eastAsia="Times New Roman"/>
          <w:b w:val="0"/>
          <w:color w:val="FF0000"/>
          <w:sz w:val="21"/>
        </w:rPr>
        <w:t>Qc=P(tanφ1</w:t>
      </w:r>
      <w:r>
        <w:rPr>
          <w:rFonts w:ascii="宋体" w:hAnsi="宋体" w:eastAsia="宋体"/>
          <w:b w:val="0"/>
          <w:color w:val="FF0000"/>
          <w:sz w:val="21"/>
        </w:rPr>
        <w:t>－</w:t>
      </w:r>
      <w:r>
        <w:rPr>
          <w:rFonts w:ascii="Times New Roman" w:hAnsi="Times New Roman" w:eastAsia="Times New Roman"/>
          <w:b w:val="0"/>
          <w:color w:val="FF0000"/>
          <w:sz w:val="21"/>
        </w:rPr>
        <w:t>tanφ2)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Qc=6×(1.33</w:t>
      </w:r>
      <w:r>
        <w:rPr>
          <w:rFonts w:ascii="宋体" w:hAnsi="宋体" w:eastAsia="宋体"/>
          <w:b w:val="0"/>
          <w:color w:val="FF0000"/>
          <w:sz w:val="21"/>
        </w:rPr>
        <w:t>－</w:t>
      </w:r>
      <w:r>
        <w:rPr>
          <w:rFonts w:ascii="Times New Roman" w:hAnsi="Times New Roman" w:eastAsia="Times New Roman"/>
          <w:b w:val="0"/>
          <w:color w:val="FF0000"/>
          <w:sz w:val="21"/>
        </w:rPr>
        <w:t>0.75)=3.48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kvar</w:t>
      </w:r>
      <w:r>
        <w:rPr>
          <w:rFonts w:ascii="宋体" w:hAnsi="宋体" w:eastAsia="宋体"/>
          <w:b w:val="0"/>
          <w:color w:val="FF0000"/>
          <w:sz w:val="21"/>
        </w:rPr>
        <w:t>，约为</w:t>
      </w:r>
      <w:r>
        <w:rPr>
          <w:rFonts w:ascii="Times New Roman" w:hAnsi="Times New Roman" w:eastAsia="Times New Roman"/>
          <w:b w:val="0"/>
          <w:color w:val="FF0000"/>
          <w:sz w:val="21"/>
        </w:rPr>
        <w:t>3.5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kvar</w:t>
      </w:r>
      <w:r>
        <w:rPr>
          <w:rFonts w:ascii="宋体" w:hAnsi="宋体" w:eastAsia="宋体"/>
          <w:b w:val="0"/>
          <w:color w:val="FF0000"/>
          <w:sz w:val="21"/>
        </w:rPr>
        <w:t>。补偿后视在功率按</w:t>
      </w:r>
      <w:r>
        <w:rPr>
          <w:rFonts w:ascii="Times New Roman" w:hAnsi="Times New Roman" w:eastAsia="Times New Roman"/>
          <w:b w:val="0"/>
          <w:color w:val="FF0000"/>
          <w:sz w:val="21"/>
        </w:rPr>
        <w:t>S=P/cosφ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S=6/0.8=7.5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kVA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在输送同样有功功率时，功率因数越低，电源和线路承担的视在功率越大。（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功率因数表示有功功率占视在功率的比例。在有功功率一定时，功率因数越低，需要的视在功率越大，线路电流也越大。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提高感性负载功率因数时，电容器应串接在负载主回路中。（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感性负载提高功率因数通常采用并联电容器补偿，使容性无功电流在负载附近提供。串接电容会改变主回路工作状态，不是常用的低压无功补偿接法。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电容器电流在相位上滞后电压，因此能补偿感性负载的滞后无功电流。（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电容器电流在相位上超前电压，而感性负载电流相位滞后电压。正因为二者无功电流方向相反，电容器才能起到补偿作用。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补偿后若电源侧电流不降反升，可能是电容器投入过多造成过补偿。（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电容补偿应适量，投入过多会使电路呈容性，电源侧仍需承担无功电流。过补偿不仅不能继续减小线路电流，还可能使电流增大并影响设备运行。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简述在确定无功补偿容量时，为什么不宜盲目追求功率因数过高或呈超前状态。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）补偿容量过大时，电路可能由感性变为容性，出现过补偿。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）过补偿会使电源侧出现超前无功功率，不利于电网稳定运行。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）补偿过多还可能引起电压升高、电容器负担加重等问题，因此应按实际负载和目标功率因数合理选择补偿容量。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提高功率因数的目的是减少电源和线路承担的不必要无功负担，但补偿并不是越多越好。电容器提供的是容性无功功率，若超过感性负载所需补偿量，就会使电路呈容性，产生超前无功。因此实际工程中通常按规定目标值进行补偿，避免过补偿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单相用电支路测得有功功率为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，无功功率为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kvar</w:t>
      </w:r>
      <w:r>
        <w:rPr>
          <w:rFonts w:ascii="宋体" w:hAnsi="宋体" w:eastAsia="宋体"/>
          <w:b w:val="0"/>
          <w:sz w:val="21"/>
        </w:rPr>
        <w:t>（滞后）。若希望补偿后功率因数达到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>（仍为滞后），已知功率因数为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 xml:space="preserve">时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Times New Roman" w:hAnsi="Times New Roman" w:eastAsia="Times New Roman"/>
          <w:b w:val="0"/>
          <w:sz w:val="21"/>
        </w:rPr>
        <w:t>.</w:t>
      </w:r>
      <w:r>
        <w:rPr>
          <w:rFonts w:ascii="Times New Roman" w:hAnsi="Times New Roman" w:eastAsia="Times New Roman"/>
          <w:b w:val="0"/>
          <w:sz w:val="21"/>
        </w:rPr>
        <w:t>7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 xml:space="preserve"> 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 xml:space="preserve">，求应并联电容器的电容量，结果保留一位小数，单位用 </w:t>
      </w:r>
      <w:r>
        <w:rPr>
          <w:rFonts w:ascii="Times New Roman" w:hAnsi="Times New Roman" w:eastAsia="Times New Roman"/>
          <w:b w:val="0"/>
          <w:sz w:val="21"/>
        </w:rPr>
        <w:t>μ</w:t>
      </w:r>
      <w:r>
        <w:rPr>
          <w:rFonts w:ascii="Times New Roman" w:hAnsi="Times New Roman" w:eastAsia="Times New Roman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F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131.5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 xml:space="preserve">补偿后目标无功功率为 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。原无功功率为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kvar</w:t>
      </w:r>
      <w:r>
        <w:rPr>
          <w:rFonts w:ascii="宋体" w:hAnsi="宋体" w:eastAsia="宋体"/>
          <w:b w:val="0"/>
          <w:color w:val="FF0000"/>
          <w:sz w:val="21"/>
        </w:rPr>
        <w:t xml:space="preserve">，因此电容器应补偿的无功功率为 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 xml:space="preserve">。单相并联电容器的无功功率关系为 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π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，所以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π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 xml:space="preserve">。代入数据得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μ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。因此应并联的电容量约为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131.5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某三相异步电动机有功功率为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，线电压为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，原功率因数为</w:t>
      </w:r>
      <w:r>
        <w:rPr>
          <w:rFonts w:ascii="Times New Roman" w:hAnsi="Times New Roman" w:eastAsia="Times New Roman"/>
          <w:b w:val="0"/>
          <w:sz w:val="21"/>
        </w:rPr>
        <w:t>0.75</w:t>
      </w:r>
      <w:r>
        <w:rPr>
          <w:rFonts w:ascii="宋体" w:hAnsi="宋体" w:eastAsia="宋体"/>
          <w:b w:val="0"/>
          <w:sz w:val="21"/>
        </w:rPr>
        <w:t>，计划提高到</w:t>
      </w:r>
      <w:r>
        <w:rPr>
          <w:rFonts w:ascii="Times New Roman" w:hAnsi="Times New Roman" w:eastAsia="Times New Roman"/>
          <w:b w:val="0"/>
          <w:sz w:val="21"/>
        </w:rPr>
        <w:t>0.90</w:t>
      </w:r>
      <w:r>
        <w:rPr>
          <w:rFonts w:ascii="宋体" w:hAnsi="宋体" w:eastAsia="宋体"/>
          <w:b w:val="0"/>
          <w:sz w:val="21"/>
        </w:rPr>
        <w:t>。已知</w:t>
      </w:r>
      <w:r>
        <w:rPr>
          <w:rFonts w:ascii="Times New Roman" w:hAnsi="Times New Roman" w:eastAsia="Times New Roman"/>
          <w:b w:val="0"/>
          <w:sz w:val="21"/>
        </w:rPr>
        <w:t>cosφ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0.75</w:t>
      </w:r>
      <w:r>
        <w:rPr>
          <w:rFonts w:ascii="宋体" w:hAnsi="宋体" w:eastAsia="宋体"/>
          <w:b w:val="0"/>
          <w:sz w:val="21"/>
        </w:rPr>
        <w:t>时</w:t>
      </w:r>
      <w:r>
        <w:rPr>
          <w:rFonts w:ascii="Times New Roman" w:hAnsi="Times New Roman" w:eastAsia="Times New Roman"/>
          <w:b w:val="0"/>
          <w:sz w:val="21"/>
        </w:rPr>
        <w:t>tanφ</w:t>
      </w:r>
      <w:r>
        <w:rPr>
          <w:rFonts w:ascii="宋体" w:hAnsi="宋体" w:eastAsia="宋体"/>
          <w:b w:val="0"/>
          <w:sz w:val="21"/>
        </w:rPr>
        <w:t>约为</w:t>
      </w:r>
      <w:r>
        <w:rPr>
          <w:rFonts w:ascii="Times New Roman" w:hAnsi="Times New Roman" w:eastAsia="Times New Roman"/>
          <w:b w:val="0"/>
          <w:sz w:val="21"/>
        </w:rPr>
        <w:t>0.882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cosφ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0.90</w:t>
      </w:r>
      <w:r>
        <w:rPr>
          <w:rFonts w:ascii="宋体" w:hAnsi="宋体" w:eastAsia="宋体"/>
          <w:b w:val="0"/>
          <w:sz w:val="21"/>
        </w:rPr>
        <w:t>时</w:t>
      </w:r>
      <w:r>
        <w:rPr>
          <w:rFonts w:ascii="Times New Roman" w:hAnsi="Times New Roman" w:eastAsia="Times New Roman"/>
          <w:b w:val="0"/>
          <w:sz w:val="21"/>
        </w:rPr>
        <w:t>tanφ</w:t>
      </w:r>
      <w:r>
        <w:rPr>
          <w:rFonts w:ascii="宋体" w:hAnsi="宋体" w:eastAsia="宋体"/>
          <w:b w:val="0"/>
          <w:sz w:val="21"/>
        </w:rPr>
        <w:t>约为</w:t>
      </w:r>
      <w:r>
        <w:rPr>
          <w:rFonts w:ascii="Times New Roman" w:hAnsi="Times New Roman" w:eastAsia="Times New Roman"/>
          <w:b w:val="0"/>
          <w:sz w:val="21"/>
        </w:rPr>
        <w:t>0.484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√3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1.732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）所需电容补偿容量；（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）补偿前后的线电流；（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）若选用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kvar</w:t>
      </w:r>
      <w:r>
        <w:rPr>
          <w:rFonts w:ascii="宋体" w:hAnsi="宋体" w:eastAsia="宋体"/>
          <w:b w:val="0"/>
          <w:sz w:val="21"/>
        </w:rPr>
        <w:t>电容器组，判断是否基本满足要求。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5.97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kvar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）补偿前线电流约</w:t>
      </w:r>
      <w:r>
        <w:rPr>
          <w:rFonts w:ascii="Times New Roman" w:hAnsi="Times New Roman" w:eastAsia="Times New Roman"/>
          <w:b w:val="0"/>
          <w:color w:val="FF0000"/>
          <w:sz w:val="21"/>
        </w:rPr>
        <w:t>30.4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，补偿后线电流约</w:t>
      </w:r>
      <w:r>
        <w:rPr>
          <w:rFonts w:ascii="Times New Roman" w:hAnsi="Times New Roman" w:eastAsia="Times New Roman"/>
          <w:b w:val="0"/>
          <w:color w:val="FF0000"/>
          <w:sz w:val="21"/>
        </w:rPr>
        <w:t>25.3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）基本满足要求。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）根据补偿容量公式</w:t>
      </w:r>
      <w:r>
        <w:rPr>
          <w:rFonts w:ascii="Times New Roman" w:hAnsi="Times New Roman" w:eastAsia="Times New Roman"/>
          <w:b w:val="0"/>
          <w:color w:val="FF0000"/>
          <w:sz w:val="21"/>
        </w:rPr>
        <w:t>Qc=P(tanφ1</w:t>
      </w:r>
      <w:r>
        <w:rPr>
          <w:rFonts w:ascii="宋体" w:hAnsi="宋体" w:eastAsia="宋体"/>
          <w:b w:val="0"/>
          <w:color w:val="FF0000"/>
          <w:sz w:val="21"/>
        </w:rPr>
        <w:t>－</w:t>
      </w:r>
      <w:r>
        <w:rPr>
          <w:rFonts w:ascii="Times New Roman" w:hAnsi="Times New Roman" w:eastAsia="Times New Roman"/>
          <w:b w:val="0"/>
          <w:color w:val="FF0000"/>
          <w:sz w:val="21"/>
        </w:rPr>
        <w:t>tanφ2)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Qc=15×(0.882</w:t>
      </w:r>
      <w:r>
        <w:rPr>
          <w:rFonts w:ascii="宋体" w:hAnsi="宋体" w:eastAsia="宋体"/>
          <w:b w:val="0"/>
          <w:color w:val="FF0000"/>
          <w:sz w:val="21"/>
        </w:rPr>
        <w:t>－</w:t>
      </w:r>
      <w:r>
        <w:rPr>
          <w:rFonts w:ascii="Times New Roman" w:hAnsi="Times New Roman" w:eastAsia="Times New Roman"/>
          <w:b w:val="0"/>
          <w:color w:val="FF0000"/>
          <w:sz w:val="21"/>
        </w:rPr>
        <w:t>0.484)=5.97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kvar</w:t>
      </w:r>
      <w:r>
        <w:rPr>
          <w:rFonts w:ascii="宋体" w:hAnsi="宋体" w:eastAsia="宋体"/>
          <w:b w:val="0"/>
          <w:color w:val="FF0000"/>
          <w:sz w:val="21"/>
        </w:rPr>
        <w:t>，因此所需补偿容量约为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5.97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kvar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）三相电路有功功率公式为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P=√3UIcosφ</w:t>
      </w:r>
      <w:r>
        <w:rPr>
          <w:rFonts w:ascii="宋体" w:hAnsi="宋体" w:eastAsia="宋体"/>
          <w:b w:val="0"/>
          <w:color w:val="FF0000"/>
          <w:sz w:val="21"/>
        </w:rPr>
        <w:t>。补偿前线电流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I1=P/(√3Ucosφ1)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I1=15000/(1.732×380×0.75)=30.4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；补偿后线电流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I2=15000/(1.732×380×0.90)=25.3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）计算所需补偿容量约为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5.97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kvar</w:t>
      </w:r>
      <w:r>
        <w:rPr>
          <w:rFonts w:ascii="宋体" w:hAnsi="宋体" w:eastAsia="宋体"/>
          <w:b w:val="0"/>
          <w:color w:val="FF0000"/>
          <w:sz w:val="21"/>
        </w:rPr>
        <w:t>，选用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kvar</w:t>
      </w:r>
      <w:r>
        <w:rPr>
          <w:rFonts w:ascii="宋体" w:hAnsi="宋体" w:eastAsia="宋体"/>
          <w:b w:val="0"/>
          <w:color w:val="FF0000"/>
          <w:sz w:val="21"/>
        </w:rPr>
        <w:t>电容器组与计算值接近，因此可判断基本满足补偿要求。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