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27</w:t>
            </w:r>
            <w:r>
              <w:rPr>
                <w:rFonts w:ascii="楷体" w:hAnsi="楷体" w:eastAsia="楷体"/>
                <w:b/>
                <w:color w:val="4472C4"/>
                <w:sz w:val="21"/>
              </w:rPr>
              <w:t>练，内容涵盖了解示波器的基本结构和工作原理，掌握测量电压、周期、频率和相位的方法。</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27</w:t>
      </w:r>
      <w:r>
        <w:rPr>
          <w:rFonts w:ascii="宋体" w:hAnsi="宋体" w:eastAsia="宋体"/>
          <w:b/>
          <w:sz w:val="28"/>
        </w:rPr>
        <w:t>练  示波器的原理与使用</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用示波器观察随时间变化的电信号时，荧光屏上横向展开通常表示（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信号幅值变化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时间扫描过程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探头衰减倍率</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输入耦合方式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示波器利用水平扫描使光点按时间顺序移动，纵向偏转反映被测信号的大小。因此横向展开反映的是信号随时间变化的过程。</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示波器中使电子束在屏幕上产生上下位移的部分是（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水平扫描系统</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触发同步系统</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垂直偏转系统</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校准信号系统</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被测电压送入垂直通道后，经放大加到偏转板，使电子束产生上下偏移。水平扫描系统主要控制电子束沿水平方向移动。</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使用示波器观察周期信号时，为使波形在屏幕上保持稳定，应优先调节（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触发电平旋钮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亮度调节旋钮</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聚焦调节旋钮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位置调节旋钮</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触发电平用于确定扫描开始的信号位置，调节合适后每次扫描从相同相位开始，波形才能稳定显示。亮度、聚焦和位置调节不能解决同步稳定问题。</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测量交流信号时，屏幕上波形突然变成一条水平亮线，垂直灵敏度旋钮调节后仍无高度变化，较可能的检查方向是（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检查时基档位设置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检查探头接地夹</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检查触发源选择</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检查垂直输入通道</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水平亮线说明水平扫描仍在工作，但垂直方向没有随输入信号偏转。此时应重点检查垂直输入通道、探头连接和耦合设置是否存在问题。</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使用示波器测量正弦交流电压时，可直接依据屏幕读数获得的量有（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峰峰值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平均功率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周期</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电源效率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示波器通过垂直方向格数和电压灵敏度可求峰峰值，通过水平方向格数和时基可求周期。平均功率和电源效率还需要电路负载、功率关系等其他条件。</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示波器面板上的水平控制部分通常用于调节（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波形垂直幅度</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扫描时间档位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输入耦合方式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水平位置移动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水平控制部分主要与时间轴有关，可选择扫描时间档位并移动波形的水平位置。波形垂直幅度和输入耦合方式属于垂直通道的调节内容。</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关于示波器测量相位差的方法，下列说法正确的有（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应先读出同周期所占格数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应再读出两波形水平间隔</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应直接读取垂直峰值格数</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应只调节亮度旋钮判断</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用时间差法测相位时，需先确定一个周期对应的水平格数，再测出两波形同相位点之间的水平间隔。垂直峰值用于电压测量，亮度调节不能用于相位计算。</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已知示波器时基为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ms/div</w:t>
      </w:r>
      <w:r>
        <w:rPr>
          <w:rFonts w:ascii="宋体" w:hAnsi="宋体" w:eastAsia="宋体"/>
          <w:b w:val="0"/>
          <w:sz w:val="21"/>
        </w:rPr>
        <w:t>，某双踪正弦信号一个周期占</w:t>
      </w:r>
      <w:r>
        <w:rPr>
          <w:rFonts w:ascii="Times New Roman" w:hAnsi="Times New Roman" w:eastAsia="Times New Roman"/>
          <w:b w:val="0"/>
          <w:sz w:val="21"/>
        </w:rPr>
        <w:t>4</w:t>
      </w:r>
      <w:r>
        <w:rPr>
          <w:rFonts w:ascii="宋体" w:hAnsi="宋体" w:eastAsia="宋体"/>
          <w:b w:val="0"/>
          <w:sz w:val="21"/>
        </w:rPr>
        <w:t>格，两波形同向过零点相距</w:t>
      </w:r>
      <w:r>
        <w:rPr>
          <w:rFonts w:ascii="Times New Roman" w:hAnsi="Times New Roman" w:eastAsia="Times New Roman"/>
          <w:b w:val="0"/>
          <w:sz w:val="21"/>
        </w:rPr>
        <w:t>1</w:t>
      </w:r>
      <w:r>
        <w:rPr>
          <w:rFonts w:ascii="宋体" w:hAnsi="宋体" w:eastAsia="宋体"/>
          <w:b w:val="0"/>
          <w:sz w:val="21"/>
        </w:rPr>
        <w:t>格，下列判断正确的有（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频率为二百赫兹</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相位差为四十五度</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相位差为九十度</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频率为五百赫兹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CD</w:t>
      </w:r>
    </w:p>
    <w:p>
      <w:pPr>
        <w:spacing w:after="40" w:line="360" w:lineRule="auto"/>
      </w:pPr>
      <w:r>
        <w:rPr>
          <w:rFonts w:ascii="黑体" w:hAnsi="黑体" w:eastAsia="黑体"/>
          <w:b/>
          <w:color w:val="FF0000"/>
          <w:sz w:val="21"/>
        </w:rPr>
        <w:t>【解析】</w:t>
      </w:r>
      <w:r>
        <w:rPr>
          <w:rFonts w:ascii="宋体" w:hAnsi="宋体" w:eastAsia="宋体"/>
          <w:b w:val="0"/>
          <w:color w:val="FF0000"/>
          <w:sz w:val="21"/>
        </w:rPr>
        <w:t>一个周期占</w:t>
      </w:r>
      <w:r>
        <w:rPr>
          <w:rFonts w:ascii="Times New Roman" w:hAnsi="Times New Roman" w:eastAsia="Times New Roman"/>
          <w:b w:val="0"/>
          <w:color w:val="FF0000"/>
          <w:sz w:val="21"/>
        </w:rPr>
        <w:t>4</w:t>
      </w:r>
      <w:r>
        <w:rPr>
          <w:rFonts w:ascii="宋体" w:hAnsi="宋体" w:eastAsia="宋体"/>
          <w:b w:val="0"/>
          <w:color w:val="FF0000"/>
          <w:sz w:val="21"/>
        </w:rPr>
        <w:t>格，时基为</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ms/div</w:t>
      </w:r>
      <w:r>
        <w:rPr>
          <w:rFonts w:ascii="宋体" w:hAnsi="宋体" w:eastAsia="宋体"/>
          <w:b w:val="0"/>
          <w:color w:val="FF0000"/>
          <w:sz w:val="21"/>
        </w:rPr>
        <w:t>，所以周期为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ms</w:t>
      </w:r>
      <w:r>
        <w:rPr>
          <w:rFonts w:ascii="宋体" w:hAnsi="宋体" w:eastAsia="宋体"/>
          <w:b w:val="0"/>
          <w:color w:val="FF0000"/>
          <w:sz w:val="21"/>
        </w:rPr>
        <w:t>，频率为</w:t>
      </w:r>
      <w:r>
        <w:rPr>
          <w:rFonts w:ascii="Times New Roman" w:hAnsi="Times New Roman" w:eastAsia="Times New Roman"/>
          <w:b w:val="0"/>
          <w:color w:val="FF0000"/>
          <w:sz w:val="21"/>
        </w:rPr>
        <w:t>500</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t>。两波形相差</w:t>
      </w:r>
      <w:r>
        <w:rPr>
          <w:rFonts w:ascii="Times New Roman" w:hAnsi="Times New Roman" w:eastAsia="Times New Roman"/>
          <w:b w:val="0"/>
          <w:color w:val="FF0000"/>
          <w:sz w:val="21"/>
        </w:rPr>
        <w:t>1</w:t>
      </w:r>
      <w:r>
        <w:rPr>
          <w:rFonts w:ascii="宋体" w:hAnsi="宋体" w:eastAsia="宋体"/>
          <w:b w:val="0"/>
          <w:color w:val="FF0000"/>
          <w:sz w:val="21"/>
        </w:rPr>
        <w:t>格，占一个周期的四分之一，因此相位差为</w:t>
      </w:r>
      <w:r>
        <w:rPr>
          <w:rFonts w:ascii="Times New Roman" w:hAnsi="Times New Roman" w:eastAsia="Times New Roman"/>
          <w:b w:val="0"/>
          <w:color w:val="FF0000"/>
          <w:sz w:val="21"/>
        </w:rPr>
        <w:t>90°</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示波器测量直流电压时，垂直输入耦合通常应选用直流耦合。（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直流耦合能保留信号中的直流分量，适合观察直流电压及其变化。若选用交流耦合，直流分量会被隔离，读数可能不符合实际。</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调节示波器聚焦旋钮可以改变被测信号的周期读数。（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聚焦旋钮只影响光迹清晰程度，不改变水平时基设置。周期读数由水平方向格数和扫描时间档位共同决定。</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用示波器测频率时，应先测出信号周期，再根据周期求出频率。（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示波器屏幕上可通过一个完整波形所占水平格数和时基档位求出周期。频率与周期互为倒数，因此可由周期计算频率。</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只要把探头接到被测点，示波器就一定能显示稳定波形。（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稳定波形还与触发方式、触发电平、耦合方式和时基档位等设置有关。若触发条件不合适，波形可能滚动或无法稳定显示。</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简述使用示波器测量交流信号电压和周期的一般步骤。</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）正确连接探头和接地夹，选择合适的输入耦合方式，并将被测信号接入垂直输入端。</w:t>
        <w:br/>
        <w:t>（</w:t>
      </w:r>
      <w:r>
        <w:rPr>
          <w:rFonts w:ascii="Times New Roman" w:hAnsi="Times New Roman" w:eastAsia="Times New Roman"/>
          <w:b w:val="0"/>
          <w:color w:val="FF0000"/>
          <w:sz w:val="21"/>
        </w:rPr>
        <w:t>2</w:t>
      </w:r>
      <w:r>
        <w:rPr>
          <w:rFonts w:ascii="宋体" w:hAnsi="宋体" w:eastAsia="宋体"/>
          <w:b w:val="0"/>
          <w:color w:val="FF0000"/>
          <w:sz w:val="21"/>
        </w:rPr>
        <w:t>）调节垂直灵敏度和扫描时间档位，使波形高度和宽度便于读数，并通过触发调节使波形稳定。</w:t>
        <w:br/>
        <w:t>（</w:t>
      </w:r>
      <w:r>
        <w:rPr>
          <w:rFonts w:ascii="Times New Roman" w:hAnsi="Times New Roman" w:eastAsia="Times New Roman"/>
          <w:b w:val="0"/>
          <w:color w:val="FF0000"/>
          <w:sz w:val="21"/>
        </w:rPr>
        <w:t>3</w:t>
      </w:r>
      <w:r>
        <w:rPr>
          <w:rFonts w:ascii="宋体" w:hAnsi="宋体" w:eastAsia="宋体"/>
          <w:b w:val="0"/>
          <w:color w:val="FF0000"/>
          <w:sz w:val="21"/>
        </w:rPr>
        <w:t>）读取波形垂直方向和水平方向所占格数，再分别乘以对应档位，求出电压值和周期。</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本题考查示波器基本测量流程。答题时应围绕“正确接线、合理调节、稳定显示、按格数换算”四个要点展开，易错点是只写读数而忽略触发稳定和档位换算。</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已知示波器垂直灵敏度为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V/div</w:t>
      </w:r>
      <w:r>
        <w:rPr>
          <w:rFonts w:ascii="宋体" w:hAnsi="宋体" w:eastAsia="宋体"/>
          <w:b w:val="0"/>
          <w:sz w:val="21"/>
        </w:rPr>
        <w:t>，某正弦波在屏幕上峰峰值高度为</w:t>
      </w:r>
      <w:r>
        <w:rPr>
          <w:rFonts w:ascii="Times New Roman" w:hAnsi="Times New Roman" w:eastAsia="Times New Roman"/>
          <w:b w:val="0"/>
          <w:sz w:val="21"/>
        </w:rPr>
        <w:t>3</w:t>
      </w:r>
      <w:r>
        <w:rPr>
          <w:rFonts w:ascii="宋体" w:hAnsi="宋体" w:eastAsia="宋体"/>
          <w:b w:val="0"/>
          <w:sz w:val="21"/>
        </w:rPr>
        <w:t>格，求该信号的峰峰值电压。</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根据峰峰值电压等于垂直方向格数乘以垂直灵敏度。代入数据得峰峰值电压为</w:t>
      </w:r>
      <w:r>
        <w:rPr>
          <w:rFonts w:ascii="Times New Roman" w:hAnsi="Times New Roman" w:eastAsia="Times New Roman"/>
          <w:b w:val="0"/>
          <w:color w:val="FF0000"/>
          <w:sz w:val="21"/>
        </w:rPr>
        <w:t>3×2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，因此该信号的峰峰值电压为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已知示波器扫描时间档位为</w:t>
      </w:r>
      <w:r>
        <w:rPr>
          <w:rFonts w:ascii="Times New Roman" w:hAnsi="Times New Roman" w:eastAsia="Times New Roman"/>
          <w:b w:val="0"/>
          <w:sz w:val="21"/>
        </w:rPr>
        <w:t>0.2</w:t>
      </w:r>
      <w:r>
        <w:rPr>
          <w:rFonts w:ascii="宋体" w:hAnsi="宋体" w:eastAsia="宋体"/>
          <w:b w:val="0"/>
          <w:sz w:val="21"/>
        </w:rPr>
        <w:t xml:space="preserve"> </w:t>
      </w:r>
      <w:r>
        <w:rPr>
          <w:rFonts w:ascii="Times New Roman" w:hAnsi="Times New Roman" w:eastAsia="Times New Roman"/>
          <w:b w:val="0"/>
          <w:sz w:val="21"/>
        </w:rPr>
        <w:t>ms/div</w:t>
      </w:r>
      <w:r>
        <w:rPr>
          <w:rFonts w:ascii="宋体" w:hAnsi="宋体" w:eastAsia="宋体"/>
          <w:b w:val="0"/>
          <w:sz w:val="21"/>
        </w:rPr>
        <w:t>，某周期信号一个完整周期占</w:t>
      </w:r>
      <w:r>
        <w:rPr>
          <w:rFonts w:ascii="Times New Roman" w:hAnsi="Times New Roman" w:eastAsia="Times New Roman"/>
          <w:b w:val="0"/>
          <w:sz w:val="21"/>
        </w:rPr>
        <w:t>5</w:t>
      </w:r>
      <w:r>
        <w:rPr>
          <w:rFonts w:ascii="宋体" w:hAnsi="宋体" w:eastAsia="宋体"/>
          <w:b w:val="0"/>
          <w:sz w:val="21"/>
        </w:rPr>
        <w:t>格，两路同频信号相邻同向过零点的水平距离为</w:t>
      </w:r>
      <w:r>
        <w:rPr>
          <w:rFonts w:ascii="Times New Roman" w:hAnsi="Times New Roman" w:eastAsia="Times New Roman"/>
          <w:b w:val="0"/>
          <w:sz w:val="21"/>
        </w:rPr>
        <w:t>1</w:t>
      </w:r>
      <w:r>
        <w:rPr>
          <w:rFonts w:ascii="宋体" w:hAnsi="宋体" w:eastAsia="宋体"/>
          <w:b w:val="0"/>
          <w:sz w:val="21"/>
        </w:rPr>
        <w:t>格。求：（</w:t>
      </w:r>
      <w:r>
        <w:rPr>
          <w:rFonts w:ascii="Times New Roman" w:hAnsi="Times New Roman" w:eastAsia="Times New Roman"/>
          <w:b w:val="0"/>
          <w:sz w:val="21"/>
        </w:rPr>
        <w:t>1</w:t>
      </w:r>
      <w:r>
        <w:rPr>
          <w:rFonts w:ascii="宋体" w:hAnsi="宋体" w:eastAsia="宋体"/>
          <w:b w:val="0"/>
          <w:sz w:val="21"/>
        </w:rPr>
        <w:t>）该信号的周期；（</w:t>
      </w:r>
      <w:r>
        <w:rPr>
          <w:rFonts w:ascii="Times New Roman" w:hAnsi="Times New Roman" w:eastAsia="Times New Roman"/>
          <w:b w:val="0"/>
          <w:sz w:val="21"/>
        </w:rPr>
        <w:t>2</w:t>
      </w:r>
      <w:r>
        <w:rPr>
          <w:rFonts w:ascii="宋体" w:hAnsi="宋体" w:eastAsia="宋体"/>
          <w:b w:val="0"/>
          <w:sz w:val="21"/>
        </w:rPr>
        <w:t>）该信号的频率；（</w:t>
      </w:r>
      <w:r>
        <w:rPr>
          <w:rFonts w:ascii="Times New Roman" w:hAnsi="Times New Roman" w:eastAsia="Times New Roman"/>
          <w:b w:val="0"/>
          <w:sz w:val="21"/>
        </w:rPr>
        <w:t>3</w:t>
      </w:r>
      <w:r>
        <w:rPr>
          <w:rFonts w:ascii="宋体" w:hAnsi="宋体" w:eastAsia="宋体"/>
          <w:b w:val="0"/>
          <w:sz w:val="21"/>
        </w:rPr>
        <w:t>）两路信号的相位差。</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ms</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1000</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72°</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）周期等于一个周期所占水平格数乘以扫描时间档位。代入数据得周期为</w:t>
      </w:r>
      <w:r>
        <w:rPr>
          <w:rFonts w:ascii="Times New Roman" w:hAnsi="Times New Roman" w:eastAsia="Times New Roman"/>
          <w:b w:val="0"/>
          <w:color w:val="FF0000"/>
          <w:sz w:val="21"/>
        </w:rPr>
        <w:t>5×0.2</w:t>
      </w:r>
      <w:r>
        <w:rPr>
          <w:rFonts w:ascii="宋体" w:hAnsi="宋体" w:eastAsia="宋体"/>
          <w:b w:val="0"/>
          <w:color w:val="FF0000"/>
          <w:sz w:val="21"/>
        </w:rPr>
        <w:t xml:space="preserve"> </w:t>
      </w:r>
      <w:r>
        <w:rPr>
          <w:rFonts w:ascii="Times New Roman" w:hAnsi="Times New Roman" w:eastAsia="Times New Roman"/>
          <w:b w:val="0"/>
          <w:color w:val="FF0000"/>
          <w:sz w:val="21"/>
        </w:rPr>
        <w:t>ms</w:t>
      </w:r>
      <w:r>
        <w:rPr>
          <w:rFonts w:ascii="宋体" w:hAnsi="宋体" w:eastAsia="宋体"/>
          <w:b w:val="0"/>
          <w:color w:val="FF0000"/>
          <w:sz w:val="21"/>
        </w:rPr>
        <w:t>，计算结果为</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ms</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）频率为周期的倒数。周期</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ms</w:t>
      </w:r>
      <w:r>
        <w:rPr>
          <w:rFonts w:ascii="宋体" w:hAnsi="宋体" w:eastAsia="宋体"/>
          <w:b w:val="0"/>
          <w:color w:val="FF0000"/>
          <w:sz w:val="21"/>
        </w:rPr>
        <w:t>换算为</w:t>
      </w:r>
      <w:r>
        <w:rPr>
          <w:rFonts w:ascii="Times New Roman" w:hAnsi="Times New Roman" w:eastAsia="Times New Roman"/>
          <w:b w:val="0"/>
          <w:color w:val="FF0000"/>
          <w:sz w:val="21"/>
        </w:rPr>
        <w:t>0.001</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，代入得频率为</w:t>
      </w:r>
      <w:r>
        <w:rPr>
          <w:rFonts w:ascii="Times New Roman" w:hAnsi="Times New Roman" w:eastAsia="Times New Roman"/>
          <w:b w:val="0"/>
          <w:color w:val="FF0000"/>
          <w:sz w:val="21"/>
        </w:rPr>
        <w:t>1/0.001</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t>，计算结果为</w:t>
      </w:r>
      <w:r>
        <w:rPr>
          <w:rFonts w:ascii="Times New Roman" w:hAnsi="Times New Roman" w:eastAsia="Times New Roman"/>
          <w:b w:val="0"/>
          <w:color w:val="FF0000"/>
          <w:sz w:val="21"/>
        </w:rPr>
        <w:t>1000</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）相位差等于水平间隔格数除以周期格数后乘以</w:t>
      </w:r>
      <w:r>
        <w:rPr>
          <w:rFonts w:ascii="Times New Roman" w:hAnsi="Times New Roman" w:eastAsia="Times New Roman"/>
          <w:b w:val="0"/>
          <w:color w:val="FF0000"/>
          <w:sz w:val="21"/>
        </w:rPr>
        <w:t>360°</w:t>
      </w:r>
      <w:r>
        <w:rPr>
          <w:rFonts w:ascii="宋体" w:hAnsi="宋体" w:eastAsia="宋体"/>
          <w:b w:val="0"/>
          <w:color w:val="FF0000"/>
          <w:sz w:val="21"/>
        </w:rPr>
        <w:t>。代入数据得相位差为</w:t>
      </w:r>
      <w:r>
        <w:rPr>
          <w:rFonts w:ascii="Times New Roman" w:hAnsi="Times New Roman" w:eastAsia="Times New Roman"/>
          <w:b w:val="0"/>
          <w:color w:val="FF0000"/>
          <w:sz w:val="21"/>
        </w:rPr>
        <w:t>1/5×360°</w:t>
      </w:r>
      <w:r>
        <w:rPr>
          <w:rFonts w:ascii="宋体" w:hAnsi="宋体" w:eastAsia="宋体"/>
          <w:b w:val="0"/>
          <w:color w:val="FF0000"/>
          <w:sz w:val="21"/>
        </w:rPr>
        <w:t>，计算结果为</w:t>
      </w:r>
      <w:r>
        <w:rPr>
          <w:rFonts w:ascii="Times New Roman" w:hAnsi="Times New Roman" w:eastAsia="Times New Roman"/>
          <w:b w:val="0"/>
          <w:color w:val="FF0000"/>
          <w:sz w:val="21"/>
        </w:rPr>
        <w:t>72°</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