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本卷是内蒙古自治区（高职分类考试）《电气测量技术》（高教版</w:t>
            </w:r>
            <w:r>
              <w:rPr>
                <w:rFonts w:ascii="Times New Roman" w:hAnsi="Times New Roman" w:eastAsia="Times New Roman"/>
                <w:b/>
                <w:color w:val="4472C4"/>
                <w:sz w:val="21"/>
              </w:rPr>
              <w:t>·</w:t>
            </w:r>
            <w:r>
              <w:rPr>
                <w:rFonts w:ascii="楷体" w:hAnsi="楷体" w:eastAsia="楷体"/>
                <w:b/>
                <w:color w:val="4472C4"/>
                <w:sz w:val="21"/>
              </w:rPr>
              <w:t>第四版）一课一练的第</w:t>
            </w:r>
            <w:r>
              <w:rPr>
                <w:rFonts w:ascii="Times New Roman" w:hAnsi="Times New Roman" w:eastAsia="Times New Roman"/>
                <w:b/>
                <w:color w:val="4472C4"/>
                <w:sz w:val="21"/>
              </w:rPr>
              <w:t>4</w:t>
            </w:r>
            <w:r>
              <w:rPr>
                <w:rFonts w:ascii="楷体" w:hAnsi="楷体" w:eastAsia="楷体"/>
                <w:b/>
                <w:color w:val="4472C4"/>
                <w:sz w:val="21"/>
              </w:rPr>
              <w:t>练，内容涵盖了解测量仪表的准确度等级，会正确选择仪表量程和精度。</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《电气测量技术》（高教版</w:t>
      </w:r>
      <w:r>
        <w:rPr>
          <w:rFonts w:ascii="Times New Roman" w:hAnsi="Times New Roman" w:eastAsia="Times New Roman"/>
          <w:b/>
          <w:sz w:val="28"/>
        </w:rPr>
        <w:t>·</w:t>
      </w:r>
      <w:r>
        <w:rPr>
          <w:rFonts w:ascii="宋体" w:hAnsi="宋体" w:eastAsia="宋体"/>
          <w:b/>
          <w:sz w:val="28"/>
        </w:rPr>
        <w:t>第四版）</w:t>
      </w:r>
    </w:p>
    <w:p>
      <w:pPr>
        <w:spacing w:after="240" w:line="360" w:lineRule="auto"/>
        <w:jc w:val="center"/>
      </w:pPr>
      <w:r>
        <w:rPr>
          <w:rFonts w:ascii="宋体" w:hAnsi="宋体" w:eastAsia="宋体"/>
          <w:b/>
          <w:sz w:val="28"/>
        </w:rPr>
        <w:t>第</w:t>
      </w:r>
      <w:r>
        <w:rPr>
          <w:rFonts w:ascii="Times New Roman" w:hAnsi="Times New Roman" w:eastAsia="Times New Roman"/>
          <w:b/>
          <w:sz w:val="28"/>
        </w:rPr>
        <w:t>4</w:t>
      </w:r>
      <w:r>
        <w:rPr>
          <w:rFonts w:ascii="宋体" w:hAnsi="宋体" w:eastAsia="宋体"/>
          <w:b/>
          <w:sz w:val="28"/>
        </w:rPr>
        <w:t>练  测量仪表的选用</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电工指示仪表表盘上标出的准确度等级，主要表示该仪表的（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基本误差与量程上限的百分比</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偶然误差与实际读数的百分比</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附加误差与环境温度的百分比</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读数误差与被测量值的百分比</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宋体" w:hAnsi="宋体" w:eastAsia="宋体"/>
          <w:b w:val="0"/>
          <w:color w:val="FF0000"/>
          <w:sz w:val="21"/>
        </w:rPr>
        <w:t>准确度等级反映仪表在规定条件下允许的基本误差范围，通常用基本误差占量程上限的百分数表示。它不是按每次实际读数或环境温度来确定的。</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万用表测量直流电压时，选择适当电压挡的主要目的是（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提高表笔接触处导电能力</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防止指针超过刻度范围</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改变被测电路电流方向</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减小电源内部电阻影响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选择量程时应使被测值不超过仪表最大刻度，并尽量使指针位于刻度中后部。量程选得过小，指针容易超出刻度范围而损坏仪表。</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用模拟式万用表测量未知大小的直流电压时，正确的操作顺序是（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先断开电源再接入最小量程</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先选较大量程再逐步换小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先短接表笔再接入被测两端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先调到电阻挡再观察偏转</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测量未知电压时，应先选择较大的电压量程，确认读数范围后再逐步换到合适量程。这样可避免因量程过小造成指针过度偏转或仪表损坏。</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用数字万用表测量交流电压时，显示值始终为零，而被测插座实际有电，最可能的原因是（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被测电压频率略有波动</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表内电池电量较充足</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表笔插孔或功能挡位选择错误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显示屏小数点位置变化</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被测对象实际有电而仪表读数为零，常见原因是表笔插孔接错或功能挡位未选在交流电压挡。频率轻微波动和小数点位置变化一般不会使有电电压完全显示为零。</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选择电流表量程时，应考虑的因素有（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被测电流可能的最大值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仪表允许通过的电流值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电路导线外皮的颜色</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表盘刻度读取的清晰度</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w:t>
      </w:r>
    </w:p>
    <w:p>
      <w:pPr>
        <w:spacing w:after="40" w:line="360" w:lineRule="auto"/>
      </w:pPr>
      <w:r>
        <w:rPr>
          <w:rFonts w:ascii="黑体" w:hAnsi="黑体" w:eastAsia="黑体"/>
          <w:b/>
          <w:color w:val="FF0000"/>
          <w:sz w:val="21"/>
        </w:rPr>
        <w:t>【解析】</w:t>
      </w:r>
      <w:r>
        <w:rPr>
          <w:rFonts w:ascii="宋体" w:hAnsi="宋体" w:eastAsia="宋体"/>
          <w:b w:val="0"/>
          <w:color w:val="FF0000"/>
          <w:sz w:val="21"/>
        </w:rPr>
        <w:t>电流表量程应根据被测电流可能达到的最大值和仪表本身允许的电流范围来选择。导线颜色不决定量程，刻度清晰度属于读数方便性，不是量程选择的主要依据。</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某车间需测量低压配电箱的交流电压，选择仪表时正确的做法有（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选用电阻挡直接接在两相之间</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选用电流挡串入电压回路中</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选用交流电压挡并接在两端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选用量程高于被测电压的挡位</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CD</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测量交流电压应将仪表置于交流电压挡，并联接在被测两端。量程应高于被测电压，电阻挡和电流挡用于该场合会造成错误测量甚至损坏仪表。</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关于准确度等级与仪表误差的说法，正确的有（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同一量程下等级数值越小精度越高</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同一等级下量程越大允许误差越小</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量程选得接近被测值有利于减小相对误差</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读数接近满刻度时绝对误差一定为零</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AC</w:t>
      </w:r>
    </w:p>
    <w:p>
      <w:pPr>
        <w:spacing w:after="40" w:line="360" w:lineRule="auto"/>
      </w:pPr>
      <w:r>
        <w:rPr>
          <w:rFonts w:ascii="黑体" w:hAnsi="黑体" w:eastAsia="黑体"/>
          <w:b/>
          <w:color w:val="FF0000"/>
          <w:sz w:val="21"/>
        </w:rPr>
        <w:t>【解析】</w:t>
      </w:r>
      <w:r>
        <w:rPr>
          <w:rFonts w:ascii="宋体" w:hAnsi="宋体" w:eastAsia="宋体"/>
          <w:b w:val="0"/>
          <w:color w:val="FF0000"/>
          <w:sz w:val="21"/>
        </w:rPr>
        <w:t>准确度等级的数值越小，仪表允许的基本误差越小。同一准确度等级下，量程越大，允许的绝对误差通常越大；读数接近满刻度只能改善相对误差，并不表示绝对误差为零。</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有两只电压表可测约</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直流电压，甲表量程</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1.5</w:t>
      </w:r>
      <w:r>
        <w:rPr>
          <w:rFonts w:ascii="宋体" w:hAnsi="宋体" w:eastAsia="宋体"/>
          <w:b w:val="0"/>
          <w:sz w:val="21"/>
        </w:rPr>
        <w:t>级，乙表量程</w:t>
      </w:r>
      <w:r>
        <w:rPr>
          <w:rFonts w:ascii="Times New Roman" w:hAnsi="Times New Roman" w:eastAsia="Times New Roman"/>
          <w:b w:val="0"/>
          <w:sz w:val="21"/>
        </w:rPr>
        <w:t>300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0.5</w:t>
      </w:r>
      <w:r>
        <w:rPr>
          <w:rFonts w:ascii="宋体" w:hAnsi="宋体" w:eastAsia="宋体"/>
          <w:b w:val="0"/>
          <w:sz w:val="21"/>
        </w:rPr>
        <w:t>级。下列判断正确的有（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300"/>
      </w:tblGrid>
      <w:tr>
        <w:tc>
          <w:tcPr>
            <w:tcW w:type="dxa" w:w="830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甲表允许基本误差约为</w:t>
            </w:r>
            <w:r>
              <w:rPr>
                <w:rFonts w:ascii="Times New Roman" w:hAnsi="Times New Roman" w:eastAsia="Times New Roman"/>
                <w:b w:val="0"/>
                <w:sz w:val="21"/>
              </w:rPr>
              <w:t>0.15</w:t>
            </w:r>
            <w:r>
              <w:rPr>
                <w:rFonts w:ascii="宋体" w:hAnsi="宋体" w:eastAsia="宋体"/>
                <w:b w:val="0"/>
                <w:sz w:val="21"/>
              </w:rPr>
              <w:t xml:space="preserve"> </w:t>
            </w:r>
            <w:r>
              <w:rPr>
                <w:rFonts w:ascii="Times New Roman" w:hAnsi="Times New Roman" w:eastAsia="Times New Roman"/>
                <w:b w:val="0"/>
                <w:sz w:val="21"/>
              </w:rPr>
              <w:t>V</w:t>
            </w:r>
          </w:p>
        </w:tc>
      </w:tr>
      <w:tr>
        <w:tc>
          <w:tcPr>
            <w:tcW w:type="dxa" w:w="830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乙表允许基本误差约为</w:t>
            </w:r>
            <w:r>
              <w:rPr>
                <w:rFonts w:ascii="Times New Roman" w:hAnsi="Times New Roman" w:eastAsia="Times New Roman"/>
                <w:b w:val="0"/>
                <w:sz w:val="21"/>
              </w:rPr>
              <w:t>1.5</w:t>
            </w:r>
            <w:r>
              <w:rPr>
                <w:rFonts w:ascii="宋体" w:hAnsi="宋体" w:eastAsia="宋体"/>
                <w:b w:val="0"/>
                <w:sz w:val="21"/>
              </w:rPr>
              <w:t xml:space="preserve"> </w:t>
            </w:r>
            <w:r>
              <w:rPr>
                <w:rFonts w:ascii="Times New Roman" w:hAnsi="Times New Roman" w:eastAsia="Times New Roman"/>
                <w:b w:val="0"/>
                <w:sz w:val="21"/>
              </w:rPr>
              <w:t>V</w:t>
            </w:r>
          </w:p>
        </w:tc>
      </w:tr>
      <w:tr>
        <w:tc>
          <w:tcPr>
            <w:tcW w:type="dxa" w:w="830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两表用于</w:t>
            </w:r>
            <w:r>
              <w:rPr>
                <w:rFonts w:ascii="Times New Roman" w:hAnsi="Times New Roman" w:eastAsia="Times New Roman"/>
                <w:b w:val="0"/>
                <w:sz w:val="21"/>
              </w:rPr>
              <w:t>80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测量时误差限相同</w:t>
            </w:r>
          </w:p>
        </w:tc>
      </w:tr>
      <w:tr>
        <w:tc>
          <w:tcPr>
            <w:tcW w:type="dxa" w:w="830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从相对误差看甲表更适合</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BD</w:t>
      </w:r>
    </w:p>
    <w:p>
      <w:pPr>
        <w:spacing w:after="40" w:line="360" w:lineRule="auto"/>
      </w:pPr>
      <w:r>
        <w:rPr>
          <w:rFonts w:ascii="黑体" w:hAnsi="黑体" w:eastAsia="黑体"/>
          <w:b/>
          <w:color w:val="FF0000"/>
          <w:sz w:val="21"/>
        </w:rPr>
        <w:t>【解析】</w:t>
      </w:r>
      <w:r>
        <w:rPr>
          <w:rFonts w:ascii="宋体" w:hAnsi="宋体" w:eastAsia="宋体"/>
          <w:b w:val="0"/>
          <w:color w:val="FF0000"/>
          <w:sz w:val="21"/>
        </w:rPr>
        <w:t>甲表允许基本误差为</w:t>
      </w:r>
      <w:r>
        <w:rPr>
          <w:rFonts w:ascii="Times New Roman" w:hAnsi="Times New Roman" w:eastAsia="Times New Roman"/>
          <w:b w:val="0"/>
          <w:color w:val="FF0000"/>
          <w:sz w:val="21"/>
        </w:rPr>
        <w:t>1.5%</w:t>
      </w:r>
      <w:r>
        <w:rPr>
          <w:rFonts w:ascii="宋体" w:hAnsi="宋体" w:eastAsia="宋体"/>
          <w:b w:val="0"/>
          <w:color w:val="FF0000"/>
          <w:sz w:val="21"/>
        </w:rPr>
        <w:t>乘以</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，计算结果为</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；乙表允许基本误差为</w:t>
      </w:r>
      <w:r>
        <w:rPr>
          <w:rFonts w:ascii="Times New Roman" w:hAnsi="Times New Roman" w:eastAsia="Times New Roman"/>
          <w:b w:val="0"/>
          <w:color w:val="FF0000"/>
          <w:sz w:val="21"/>
        </w:rPr>
        <w:t>0.5%</w:t>
      </w:r>
      <w:r>
        <w:rPr>
          <w:rFonts w:ascii="宋体" w:hAnsi="宋体" w:eastAsia="宋体"/>
          <w:b w:val="0"/>
          <w:color w:val="FF0000"/>
          <w:sz w:val="21"/>
        </w:rPr>
        <w:t>乘以</w:t>
      </w:r>
      <w:r>
        <w:rPr>
          <w:rFonts w:ascii="Times New Roman" w:hAnsi="Times New Roman" w:eastAsia="Times New Roman"/>
          <w:b w:val="0"/>
          <w:color w:val="FF0000"/>
          <w:sz w:val="21"/>
        </w:rPr>
        <w:t>300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，计算结果也为</w:t>
      </w:r>
      <w:r>
        <w:rPr>
          <w:rFonts w:ascii="Times New Roman" w:hAnsi="Times New Roman" w:eastAsia="Times New Roman"/>
          <w:b w:val="0"/>
          <w:color w:val="FF0000"/>
          <w:sz w:val="21"/>
        </w:rPr>
        <w:t>1.5</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。两表绝对误差限相同，但甲表量程更接近</w:t>
      </w:r>
      <w:r>
        <w:rPr>
          <w:rFonts w:ascii="Times New Roman" w:hAnsi="Times New Roman" w:eastAsia="Times New Roman"/>
          <w:b w:val="0"/>
          <w:color w:val="FF0000"/>
          <w:sz w:val="21"/>
        </w:rPr>
        <w:t>80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，读数相对误差较小，因此甲表更适合该测量。</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仪表准确度等级数值越小，通常表示该仪表测量精度越高。（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准确度等级数值表示允许基本误差占量程上限的百分数，数值越小允许误差越小。因此在同类条件下，等级数值小的仪表精度较高。</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电压表的内阻越小，接入被测电路后对原电路影响越小。（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电压表应并联在被测电路两端，内阻越大，分流作用越小，对原电路影响越小。内阻小会使被测电路负载加重，导致读数偏离真实值。</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使用指针式仪表读数时，视线应尽量与刻度盘垂直，以减小视差。（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指针式仪表读数时，视线若偏斜会产生视差，使读数偏大或偏小。视线垂直于刻度盘或与镜面指针重合，可提高读数准确性。</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测量未知电阻时，可将万用表置于电流挡后直接并联在电阻两端。（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测量电阻应使用电阻挡，并且被测电阻一般应与电源断开后再测量。电流挡内阻很小，若直接并联在电路两端，可能造成短路或损坏仪表。</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简述选择测量仪表准确度等级时应注意的原则。</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）应根据测量任务对误差的要求选择合适的准确度等级。</w:t>
        <w:br/>
        <w:t>（</w:t>
      </w:r>
      <w:r>
        <w:rPr>
          <w:rFonts w:ascii="Times New Roman" w:hAnsi="Times New Roman" w:eastAsia="Times New Roman"/>
          <w:b w:val="0"/>
          <w:color w:val="FF0000"/>
          <w:sz w:val="21"/>
        </w:rPr>
        <w:t>2</w:t>
      </w:r>
      <w:r>
        <w:rPr>
          <w:rFonts w:ascii="宋体" w:hAnsi="宋体" w:eastAsia="宋体"/>
          <w:b w:val="0"/>
          <w:color w:val="FF0000"/>
          <w:sz w:val="21"/>
        </w:rPr>
        <w:t>）精密测量宜选用等级数值较小的仪表，普通检查可选用一般精度仪表。</w:t>
        <w:br/>
        <w:t>（</w:t>
      </w:r>
      <w:r>
        <w:rPr>
          <w:rFonts w:ascii="Times New Roman" w:hAnsi="Times New Roman" w:eastAsia="Times New Roman"/>
          <w:b w:val="0"/>
          <w:color w:val="FF0000"/>
          <w:sz w:val="21"/>
        </w:rPr>
        <w:t>3</w:t>
      </w:r>
      <w:r>
        <w:rPr>
          <w:rFonts w:ascii="宋体" w:hAnsi="宋体" w:eastAsia="宋体"/>
          <w:b w:val="0"/>
          <w:color w:val="FF0000"/>
          <w:sz w:val="21"/>
        </w:rPr>
        <w:t>）不应盲目追求高精度仪表，以免增加成本和使用要求。</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本题考查准确度等级的选用原则。答题时应从测量要求、仪表精度和经济合理性三个方面说明，核心是使仪表精度满足需要而不过度配置。</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简述选择电压表或电流表量程的一般方法。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）测量前应估计被测量的大小，选择大于被测值的合适量程。</w:t>
        <w:br/>
        <w:t>（</w:t>
      </w:r>
      <w:r>
        <w:rPr>
          <w:rFonts w:ascii="Times New Roman" w:hAnsi="Times New Roman" w:eastAsia="Times New Roman"/>
          <w:b w:val="0"/>
          <w:color w:val="FF0000"/>
          <w:sz w:val="21"/>
        </w:rPr>
        <w:t>2</w:t>
      </w:r>
      <w:r>
        <w:rPr>
          <w:rFonts w:ascii="宋体" w:hAnsi="宋体" w:eastAsia="宋体"/>
          <w:b w:val="0"/>
          <w:color w:val="FF0000"/>
          <w:sz w:val="21"/>
        </w:rPr>
        <w:t>）被测量大小不明确时，应先选较大量程试测，再逐步换到合适量程。</w:t>
        <w:br/>
        <w:t>（</w:t>
      </w:r>
      <w:r>
        <w:rPr>
          <w:rFonts w:ascii="Times New Roman" w:hAnsi="Times New Roman" w:eastAsia="Times New Roman"/>
          <w:b w:val="0"/>
          <w:color w:val="FF0000"/>
          <w:sz w:val="21"/>
        </w:rPr>
        <w:t>3</w:t>
      </w:r>
      <w:r>
        <w:rPr>
          <w:rFonts w:ascii="宋体" w:hAnsi="宋体" w:eastAsia="宋体"/>
          <w:b w:val="0"/>
          <w:color w:val="FF0000"/>
          <w:sz w:val="21"/>
        </w:rPr>
        <w:t>）正式读数时应尽量使指针或显示值处在量程的合理读数区域。</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本题考查仪表量程选择的基本操作。答题时应体现先保护仪表、再保证读数准确的思路，避免量程过小造成损坏，也避免量程过大造成读数相对误差增大。</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某维修人员要测量一台设备控制电源，估计电压约为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，现有</w:t>
      </w:r>
      <w:r>
        <w:rPr>
          <w:rFonts w:ascii="Times New Roman" w:hAnsi="Times New Roman" w:eastAsia="Times New Roman"/>
          <w:b w:val="0"/>
          <w:sz w:val="21"/>
        </w:rPr>
        <w:t>50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两种直流电压量程可选。说明应选用哪一量程，并分析理由。</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）应优先选用</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直流电压量程进行测量。</w:t>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量程高于估计的</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，能够满足不超量程的安全要求。</w:t>
        <w:br/>
        <w:t>（</w:t>
      </w:r>
      <w:r>
        <w:rPr>
          <w:rFonts w:ascii="Times New Roman" w:hAnsi="Times New Roman" w:eastAsia="Times New Roman"/>
          <w:b w:val="0"/>
          <w:color w:val="FF0000"/>
          <w:sz w:val="21"/>
        </w:rPr>
        <w:t>3</w:t>
      </w:r>
      <w:r>
        <w:rPr>
          <w:rFonts w:ascii="宋体" w:hAnsi="宋体" w:eastAsia="宋体"/>
          <w:b w:val="0"/>
          <w:color w:val="FF0000"/>
          <w:sz w:val="21"/>
        </w:rPr>
        <w:t>）与</w:t>
      </w:r>
      <w:r>
        <w:rPr>
          <w:rFonts w:ascii="Times New Roman" w:hAnsi="Times New Roman" w:eastAsia="Times New Roman"/>
          <w:b w:val="0"/>
          <w:color w:val="FF0000"/>
          <w:sz w:val="21"/>
        </w:rPr>
        <w:t>100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量程相比，</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量程读数区域更合理，相对误差通常较小。</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本题考查量程选择在实际测量中的应用。判断时应先保证量程大于被测电压，再比较量程与被测值的接近程度；在安全不超量程的前提下，选较接近被测值的量程有利于提高读数可靠性。</w:t>
      </w:r>
    </w:p>
    <w:sectPr>
      <w:headerReference r:id="rId3" w:type="default"/>
      <w:footerReference r:id="rId4" w:type="default"/>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