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编写说明：考虑到中职学生普遍基础知识相对薄弱的情况，我们依据支架式教学理念，精心编制了内蒙古自治区（高职分类考试）《电气测量技术》（高教版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四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本卷是内蒙古自治区（高职分类考试）《电气测量技术》（高教版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第四版）一课一练的第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15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练，内容涵盖理解惠斯通电桥和开尔文电桥的平衡条件，会用直流电桥精确测量电阻。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《电气测量技术》（高教版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第四版）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15</w:t>
      </w:r>
      <w:r>
        <w:rPr>
          <w:rFonts w:ascii="宋体" w:hAnsi="宋体" w:eastAsia="宋体"/>
          <w:b/>
          <w:sz w:val="28"/>
        </w:rPr>
        <w:t>练  电桥法测电阻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二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适用于较高精度测量中值电阻的零位比较式仪器通常称为（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单臂直流电桥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双臂直流电桥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交流阻抗电桥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数字钳形电表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单臂直流电桥采用零位比较法测量电阻，常用于中值电阻的精密测量。双臂直流电桥更适合低值电阻测量，交流阻抗电桥主要用于交流参数测量。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在低值电阻测量的四端钮接线中，电位端钮的主要作用是（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接入电源形成回路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取得试样两端电压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改变桥臂比例关系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保护检流计线圈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四端钮接线把电流端和电位端分开，电位端主要取出被测电阻本体两端的电压。这样可减小引线电阻和接触电阻对测量结果的影响。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用直流电桥测量时，发现检流计指针偏转后逐渐接近零位，说明此时正在进行的操作是（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增大电源内阻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拆除标准电阻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调整桥臂使其趋于平衡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改变被测件材料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检流计指针逐渐接近零位，表示桥路两检测点的电位差逐渐减小。继续调整桥臂参数可使桥路达到平衡状态。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某电桥接好后按下电源按钮，检流计始终无明显偏转，经检查指针和保护开关正常，优先检查的部位是（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被测件外壳绝缘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标准臂刻度盘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比例臂标称值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电源支路连接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按下电源按钮后检流计无明显响应，若检流计本身和保护开关正常，应先判断桥路是否得到供电。电源支路接触不良或断开会使桥路没有工作电流。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提高直流电桥测量灵敏度时，下列变化可能产生的影响有（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微小失衡更易观察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指针偏转可能增大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接触电阻完全消除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读数稳定性要求提高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提高灵敏度后，较小的不平衡电流也能引起明显偏转，因此微小失衡更易观察，指针偏转可能增大。同时，环境干扰和接触状态对读数稳定性的要求也更高。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用电桥测量一只电动机绕组电阻时，下列做法合理的有（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清洁接线端子后夹紧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选择合适的比例臂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读数前等待指针稳定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任意调换电位端线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清洁并夹紧接线端子可减小接触误差，选择合适比例臂有利于读数准确，指针稳定后读数可减少瞬时波动影响。电位端线不能任意调换，否则可能导致接线关系错误。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下列关于两类直流电桥测量特点的说法，正确的有（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单臂式适合中值电阻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双臂式适合低值电阻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单臂式需四端钮接线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双臂式可减小引线影响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单臂式直流电桥常用于中值电阻测量，双臂式直流电桥常用于低值电阻测量。双臂式通过特殊桥路和四端钮接线，可减小引线电阻及接触电阻的影响。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某单臂电桥的两比例臂分别为</w:t>
      </w:r>
      <w:r>
        <w:rPr>
          <w:rFonts w:ascii="Times New Roman" w:hAnsi="Times New Roman" w:eastAsia="Times New Roman"/>
          <w:b w:val="0"/>
          <w:sz w:val="21"/>
        </w:rPr>
        <w:t>400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和</w:t>
      </w:r>
      <w:r>
        <w:rPr>
          <w:rFonts w:ascii="Times New Roman" w:hAnsi="Times New Roman" w:eastAsia="Times New Roman"/>
          <w:b w:val="0"/>
          <w:sz w:val="21"/>
        </w:rPr>
        <w:t>100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，标准电阻调到</w:t>
      </w:r>
      <w:r>
        <w:rPr>
          <w:rFonts w:ascii="Times New Roman" w:hAnsi="Times New Roman" w:eastAsia="Times New Roman"/>
          <w:b w:val="0"/>
          <w:sz w:val="21"/>
        </w:rPr>
        <w:t>25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时桥路平衡。若被测电阻与标准电阻的比值等于两比例臂之比，下列结论正确的有（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比例臂之比为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4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被测电阻为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100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Ω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标准电阻应为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75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Ω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该题属于零位测量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两比例臂之比为</w:t>
      </w:r>
      <w:r>
        <w:rPr>
          <w:rFonts w:ascii="Times New Roman" w:hAnsi="Times New Roman" w:eastAsia="Times New Roman"/>
          <w:b w:val="0"/>
          <w:color w:val="FF0000"/>
          <w:sz w:val="21"/>
        </w:rPr>
        <w:t>400/100</w:t>
      </w:r>
      <w:r>
        <w:rPr>
          <w:rFonts w:ascii="宋体" w:hAnsi="宋体" w:eastAsia="宋体"/>
          <w:b w:val="0"/>
          <w:color w:val="FF0000"/>
          <w:sz w:val="21"/>
        </w:rPr>
        <w:t>，计算结果为</w:t>
      </w:r>
      <w:r>
        <w:rPr>
          <w:rFonts w:ascii="Times New Roman" w:hAnsi="Times New Roman" w:eastAsia="Times New Roman"/>
          <w:b w:val="0"/>
          <w:color w:val="FF0000"/>
          <w:sz w:val="21"/>
        </w:rPr>
        <w:t>4</w:t>
      </w:r>
      <w:r>
        <w:rPr>
          <w:rFonts w:ascii="宋体" w:hAnsi="宋体" w:eastAsia="宋体"/>
          <w:b w:val="0"/>
          <w:color w:val="FF0000"/>
          <w:sz w:val="21"/>
        </w:rPr>
        <w:t>。被测电阻为</w:t>
      </w:r>
      <w:r>
        <w:rPr>
          <w:rFonts w:ascii="Times New Roman" w:hAnsi="Times New Roman" w:eastAsia="Times New Roman"/>
          <w:b w:val="0"/>
          <w:color w:val="FF0000"/>
          <w:sz w:val="21"/>
        </w:rPr>
        <w:t>25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乘以</w:t>
      </w:r>
      <w:r>
        <w:rPr>
          <w:rFonts w:ascii="Times New Roman" w:hAnsi="Times New Roman" w:eastAsia="Times New Roman"/>
          <w:b w:val="0"/>
          <w:color w:val="FF0000"/>
          <w:sz w:val="21"/>
        </w:rPr>
        <w:t>4</w:t>
      </w:r>
      <w:r>
        <w:rPr>
          <w:rFonts w:ascii="宋体" w:hAnsi="宋体" w:eastAsia="宋体"/>
          <w:b w:val="0"/>
          <w:color w:val="FF0000"/>
          <w:sz w:val="21"/>
        </w:rPr>
        <w:t>，结果为</w:t>
      </w:r>
      <w:r>
        <w:rPr>
          <w:rFonts w:ascii="Times New Roman" w:hAnsi="Times New Roman" w:eastAsia="Times New Roman"/>
          <w:b w:val="0"/>
          <w:color w:val="FF0000"/>
          <w:sz w:val="21"/>
        </w:rPr>
        <w:t>100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；电桥平衡时按零位法读取结果，标准电阻不应改为</w:t>
      </w:r>
      <w:r>
        <w:rPr>
          <w:rFonts w:ascii="Times New Roman" w:hAnsi="Times New Roman" w:eastAsia="Times New Roman"/>
          <w:b w:val="0"/>
          <w:color w:val="FF0000"/>
          <w:sz w:val="21"/>
        </w:rPr>
        <w:t>75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电桥法测电阻的实质是把未知电阻与已知电阻进行比较。（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直流电桥利用已知标准电阻和比例臂建立平衡关系，通过比较求出未知电阻值。它不是直接用电流表和电压表读数相除得到电阻。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开尔文电桥只要接入两根导线，就能准确测量低值电阻。（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开尔文电桥测低值电阻时通常采用四端钮接线，使电流引线和电位引线分开。若只用两根导线，引线电阻和接触电阻会明显影响测量结果。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电桥测量前应根据估计阻值选择量程和比例，避免标准电阻调节范围不合适。（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被测电阻的估计值会影响比例臂和标准电阻的选择。量程选择不当会导致难以调到平衡点，甚至使读数精度下降。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检流计灵敏度越高，电桥测量结果在任何情况下都越准确。（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灵敏度过高时，外界振动、热电势和接触不稳定都可能使指针摆动明显。实际测量应在保护检流计的前提下，逐步提高灵敏度并取得稳定读数。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简述开尔文电桥测量低值电阻时减小误差的基本思路。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）采用四端钮接线，使电流端和电位端分开，减少引线电阻对电压取样的影响。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）保持接线端接触可靠，避免接触电阻变化引起平衡点漂移。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）按平衡条件调节标准电阻和比例臂，使检流计指零后再读取结果。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本题应围绕低值电阻测量误差来源作答。低值电阻本身很小，引线电阻和接触电阻的影响相对突出，因此要从接线方式、接触可靠性和平衡读数三个方面说明。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某单臂直流电桥测量电阻时，已知比例臂</w:t>
      </w:r>
      <w:r>
        <w:rPr>
          <w:rFonts w:ascii="Times New Roman" w:hAnsi="Times New Roman" w:eastAsia="Times New Roman"/>
          <w:b w:val="0"/>
          <w:sz w:val="21"/>
        </w:rPr>
        <w:t>R1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250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</w:t>
      </w:r>
      <w:r>
        <w:rPr>
          <w:rFonts w:ascii="Times New Roman" w:hAnsi="Times New Roman" w:eastAsia="Times New Roman"/>
          <w:b w:val="0"/>
          <w:sz w:val="21"/>
        </w:rPr>
        <w:t>R2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1000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，电桥平衡时标准电阻</w:t>
      </w:r>
      <w:r>
        <w:rPr>
          <w:rFonts w:ascii="Times New Roman" w:hAnsi="Times New Roman" w:eastAsia="Times New Roman"/>
          <w:b w:val="0"/>
          <w:sz w:val="21"/>
        </w:rPr>
        <w:t>Rs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80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。若平衡关系为</w:t>
      </w:r>
      <w:r>
        <w:rPr>
          <w:rFonts w:ascii="Times New Roman" w:hAnsi="Times New Roman" w:eastAsia="Times New Roman"/>
          <w:b w:val="0"/>
          <w:sz w:val="21"/>
        </w:rPr>
        <w:t>Rx/Rs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R1/R2</w:t>
      </w:r>
      <w:r>
        <w:rPr>
          <w:rFonts w:ascii="宋体" w:hAnsi="宋体" w:eastAsia="宋体"/>
          <w:b w:val="0"/>
          <w:sz w:val="21"/>
        </w:rPr>
        <w:t>，求被测电阻</w:t>
      </w:r>
      <w:r>
        <w:rPr>
          <w:rFonts w:ascii="Times New Roman" w:hAnsi="Times New Roman" w:eastAsia="Times New Roman"/>
          <w:b w:val="0"/>
          <w:sz w:val="21"/>
        </w:rPr>
        <w:t>Rx</w:t>
      </w:r>
      <w:r>
        <w:rPr>
          <w:rFonts w:ascii="宋体" w:hAnsi="宋体" w:eastAsia="宋体"/>
          <w:b w:val="0"/>
          <w:sz w:val="21"/>
        </w:rPr>
        <w:t>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20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根据平衡关系，</w:t>
      </w:r>
      <w:r>
        <w:rPr>
          <w:rFonts w:ascii="Times New Roman" w:hAnsi="Times New Roman" w:eastAsia="Times New Roman"/>
          <w:b w:val="0"/>
          <w:color w:val="FF0000"/>
          <w:sz w:val="21"/>
        </w:rPr>
        <w:t>Rx</w:t>
      </w:r>
      <w:r>
        <w:rPr>
          <w:rFonts w:ascii="宋体" w:hAnsi="宋体" w:eastAsia="宋体"/>
          <w:b w:val="0"/>
          <w:color w:val="FF0000"/>
          <w:sz w:val="21"/>
        </w:rPr>
        <w:t>为</w:t>
      </w:r>
      <w:r>
        <w:rPr>
          <w:rFonts w:ascii="Times New Roman" w:hAnsi="Times New Roman" w:eastAsia="Times New Roman"/>
          <w:b w:val="0"/>
          <w:color w:val="FF0000"/>
          <w:sz w:val="21"/>
        </w:rPr>
        <w:t>Rs×R1/R2</w:t>
      </w:r>
      <w:r>
        <w:rPr>
          <w:rFonts w:ascii="宋体" w:hAnsi="宋体" w:eastAsia="宋体"/>
          <w:b w:val="0"/>
          <w:color w:val="FF0000"/>
          <w:sz w:val="21"/>
        </w:rPr>
        <w:t>。代入数据得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Rx</w:t>
      </w:r>
      <w:r>
        <w:rPr>
          <w:rFonts w:ascii="宋体" w:hAnsi="宋体" w:eastAsia="宋体"/>
          <w:b w:val="0"/>
          <w:color w:val="FF0000"/>
          <w:sz w:val="21"/>
        </w:rPr>
        <w:t>为</w:t>
      </w:r>
      <w:r>
        <w:rPr>
          <w:rFonts w:ascii="Times New Roman" w:hAnsi="Times New Roman" w:eastAsia="Times New Roman"/>
          <w:b w:val="0"/>
          <w:color w:val="FF0000"/>
          <w:sz w:val="21"/>
        </w:rPr>
        <w:t>80×250/1000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。计算结果为</w:t>
      </w:r>
      <w:r>
        <w:rPr>
          <w:rFonts w:ascii="Times New Roman" w:hAnsi="Times New Roman" w:eastAsia="Times New Roman"/>
          <w:b w:val="0"/>
          <w:color w:val="FF0000"/>
          <w:sz w:val="21"/>
        </w:rPr>
        <w:t>20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，因此被测电阻为</w:t>
      </w:r>
      <w:r>
        <w:rPr>
          <w:rFonts w:ascii="Times New Roman" w:hAnsi="Times New Roman" w:eastAsia="Times New Roman"/>
          <w:b w:val="0"/>
          <w:color w:val="FF0000"/>
          <w:sz w:val="21"/>
        </w:rPr>
        <w:t>20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某车间用开尔文电桥检测一段铜排电阻，三次平衡读数分别为</w:t>
      </w:r>
      <w:r>
        <w:rPr>
          <w:rFonts w:ascii="Times New Roman" w:hAnsi="Times New Roman" w:eastAsia="Times New Roman"/>
          <w:b w:val="0"/>
          <w:sz w:val="21"/>
        </w:rPr>
        <w:t>0.124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Times New Roman" w:hAnsi="Times New Roman" w:eastAsia="Times New Roman"/>
          <w:b w:val="0"/>
          <w:sz w:val="21"/>
        </w:rPr>
        <w:t>0.126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Times New Roman" w:hAnsi="Times New Roman" w:eastAsia="Times New Roman"/>
          <w:b w:val="0"/>
          <w:sz w:val="21"/>
        </w:rPr>
        <w:t>0.125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。该铜排技术要求为</w:t>
      </w:r>
      <w:r>
        <w:rPr>
          <w:rFonts w:ascii="Times New Roman" w:hAnsi="Times New Roman" w:eastAsia="Times New Roman"/>
          <w:b w:val="0"/>
          <w:sz w:val="21"/>
        </w:rPr>
        <w:t>0.125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，允许偏差为±</w:t>
      </w:r>
      <w:r>
        <w:rPr>
          <w:rFonts w:ascii="Times New Roman" w:hAnsi="Times New Roman" w:eastAsia="Times New Roman"/>
          <w:b w:val="0"/>
          <w:sz w:val="21"/>
        </w:rPr>
        <w:t>0.003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。求：（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）三次测量的平均电阻；（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）判断该铜排是否合格。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0.125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）合格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）平均电阻按三次读数之和除以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计算。代入数据得平均电阻为</w:t>
      </w:r>
      <w:r>
        <w:rPr>
          <w:rFonts w:ascii="Times New Roman" w:hAnsi="Times New Roman" w:eastAsia="Times New Roman"/>
          <w:b w:val="0"/>
          <w:color w:val="FF0000"/>
          <w:sz w:val="21"/>
        </w:rPr>
        <w:t>(0.124+0.126+0.125)/3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，计算结果为</w:t>
      </w:r>
      <w:r>
        <w:rPr>
          <w:rFonts w:ascii="Times New Roman" w:hAnsi="Times New Roman" w:eastAsia="Times New Roman"/>
          <w:b w:val="0"/>
          <w:color w:val="FF0000"/>
          <w:sz w:val="21"/>
        </w:rPr>
        <w:t>0.125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）允许范围为</w:t>
      </w:r>
      <w:r>
        <w:rPr>
          <w:rFonts w:ascii="Times New Roman" w:hAnsi="Times New Roman" w:eastAsia="Times New Roman"/>
          <w:b w:val="0"/>
          <w:color w:val="FF0000"/>
          <w:sz w:val="21"/>
        </w:rPr>
        <w:t>0.125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减</w:t>
      </w:r>
      <w:r>
        <w:rPr>
          <w:rFonts w:ascii="Times New Roman" w:hAnsi="Times New Roman" w:eastAsia="Times New Roman"/>
          <w:b w:val="0"/>
          <w:color w:val="FF0000"/>
          <w:sz w:val="21"/>
        </w:rPr>
        <w:t>0.003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到</w:t>
      </w:r>
      <w:r>
        <w:rPr>
          <w:rFonts w:ascii="Times New Roman" w:hAnsi="Times New Roman" w:eastAsia="Times New Roman"/>
          <w:b w:val="0"/>
          <w:color w:val="FF0000"/>
          <w:sz w:val="21"/>
        </w:rPr>
        <w:t>0.125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加</w:t>
      </w:r>
      <w:r>
        <w:rPr>
          <w:rFonts w:ascii="Times New Roman" w:hAnsi="Times New Roman" w:eastAsia="Times New Roman"/>
          <w:b w:val="0"/>
          <w:color w:val="FF0000"/>
          <w:sz w:val="21"/>
        </w:rPr>
        <w:t>0.003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，即</w:t>
      </w:r>
      <w:r>
        <w:rPr>
          <w:rFonts w:ascii="Times New Roman" w:hAnsi="Times New Roman" w:eastAsia="Times New Roman"/>
          <w:b w:val="0"/>
          <w:color w:val="FF0000"/>
          <w:sz w:val="21"/>
        </w:rPr>
        <w:t>0.122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至</w:t>
      </w:r>
      <w:r>
        <w:rPr>
          <w:rFonts w:ascii="Times New Roman" w:hAnsi="Times New Roman" w:eastAsia="Times New Roman"/>
          <w:b w:val="0"/>
          <w:color w:val="FF0000"/>
          <w:sz w:val="21"/>
        </w:rPr>
        <w:t>0.128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。平均电阻</w:t>
      </w:r>
      <w:r>
        <w:rPr>
          <w:rFonts w:ascii="Times New Roman" w:hAnsi="Times New Roman" w:eastAsia="Times New Roman"/>
          <w:b w:val="0"/>
          <w:color w:val="FF0000"/>
          <w:sz w:val="21"/>
        </w:rPr>
        <w:t>0.125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在允许范围内，因此该铜排电阻检测合格。</w:t>
      </w:r>
    </w:p>
    <w:sectPr>
      <w:headerReference r:id="rId3" w:type="default"/>
      <w:footerReference r:id="rId4" w:type="default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