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line="276" w:lineRule="auto"/>
        <w:ind w:left="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2252" cy="1259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62252" cy="125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keepLines w:val="1"/>
        <w:widowControl w:val="0"/>
        <w:spacing w:line="276" w:lineRule="auto"/>
        <w:ind w:right="7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COLLEGE OF COMPUTING AND INFORMATION SCIENCES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keepLines w:val="1"/>
        <w:widowControl w:val="0"/>
        <w:spacing w:before="2"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95250</wp:posOffset>
            </wp:positionH>
            <wp:positionV relativeFrom="paragraph">
              <wp:posOffset>63303</wp:posOffset>
            </wp:positionV>
            <wp:extent cx="5916490" cy="123063"/>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16490" cy="123063"/>
                    </a:xfrm>
                    <a:prstGeom prst="rect"/>
                    <a:ln/>
                  </pic:spPr>
                </pic:pic>
              </a:graphicData>
            </a:graphic>
          </wp:anchor>
        </w:drawing>
      </w:r>
    </w:p>
    <w:p w:rsidR="00000000" w:rsidDel="00000000" w:rsidP="00000000" w:rsidRDefault="00000000" w:rsidRPr="00000000" w14:paraId="00000004">
      <w:pPr>
        <w:keepNext w:val="1"/>
        <w:keepLines w:val="1"/>
        <w:widowControl w:val="0"/>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keepNext w:val="1"/>
        <w:keepLines w:val="1"/>
        <w:widowControl w:val="0"/>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Digital Provenance and Preemptive Cybersecurity: A Framework and Prototype for Uganda's Digital Future </w:t>
      </w:r>
      <w:r w:rsidDel="00000000" w:rsidR="00000000" w:rsidRPr="00000000">
        <w:rPr>
          <w:rtl w:val="0"/>
        </w:rPr>
      </w:r>
    </w:p>
    <w:p w:rsidR="00000000" w:rsidDel="00000000" w:rsidP="00000000" w:rsidRDefault="00000000" w:rsidRPr="00000000" w14:paraId="00000006">
      <w:pPr>
        <w:keepNext w:val="1"/>
        <w:keepLines w:val="1"/>
        <w:widowControl w:val="0"/>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spacing w:after="7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By                                                                                                                                                                       Group one</w:t>
      </w:r>
    </w:p>
    <w:p w:rsidR="00000000" w:rsidDel="00000000" w:rsidP="00000000" w:rsidRDefault="00000000" w:rsidRPr="00000000" w14:paraId="00000008">
      <w:pPr>
        <w:spacing w:after="7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CSC3217 Emerging Trends in Computer Science Project Report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Report Submitted to the School of Computing and Informatics Technology in Partial Fulfillment of the Requirements for the Award of the Degree of Makerere University Bachelor of Science in Computer Science.</w:t>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MEMBERS</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360" w:tblpY="0"/>
        <w:tblW w:w="1000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3150"/>
        <w:gridCol w:w="3105"/>
        <w:tblGridChange w:id="0">
          <w:tblGrid>
            <w:gridCol w:w="3750"/>
            <w:gridCol w:w="3150"/>
            <w:gridCol w:w="31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0D">
            <w:pPr>
              <w:spacing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w:t>
            </w:r>
          </w:p>
        </w:tc>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0E">
            <w:pPr>
              <w:spacing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NUMBER</w:t>
            </w:r>
          </w:p>
        </w:tc>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0F">
            <w:pPr>
              <w:spacing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NUMBER</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10">
            <w:pPr>
              <w:spacing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IYUNDHU KENNEDY KISAME </w:t>
            </w:r>
          </w:p>
        </w:tc>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11">
            <w:pPr>
              <w:spacing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23/U/25640/PS</w:t>
            </w:r>
          </w:p>
        </w:tc>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12">
            <w:pPr>
              <w:spacing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2300725640</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13">
            <w:pPr>
              <w:spacing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NSUBUGA JEREMIAH</w:t>
            </w:r>
          </w:p>
        </w:tc>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14">
            <w:pPr>
              <w:spacing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23/U/16140/PS</w:t>
            </w:r>
          </w:p>
        </w:tc>
        <w:tc>
          <w:tcPr>
            <w:tcBorders>
              <w:top w:color="000000" w:space="0" w:sz="6" w:val="single"/>
              <w:left w:color="000000" w:space="0" w:sz="6" w:val="single"/>
              <w:bottom w:color="000000" w:space="0" w:sz="6" w:val="single"/>
              <w:right w:color="000000" w:space="0" w:sz="6" w:val="single"/>
            </w:tcBorders>
            <w:tcMar>
              <w:top w:w="40.0" w:type="dxa"/>
              <w:bottom w:w="0.0" w:type="dxa"/>
              <w:right w:w="120.0" w:type="dxa"/>
            </w:tcMar>
          </w:tcPr>
          <w:p w:rsidR="00000000" w:rsidDel="00000000" w:rsidP="00000000" w:rsidRDefault="00000000" w:rsidRPr="00000000" w14:paraId="00000015">
            <w:pPr>
              <w:spacing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2300716140</w:t>
            </w:r>
          </w:p>
        </w:tc>
      </w:tr>
    </w:tbl>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w:t>
      </w:r>
    </w:p>
    <w:sdt>
      <w:sdtPr>
        <w:id w:val="1249810439"/>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xnw82vu7ph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Background</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Statement of the Problem</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Project Aim and Objectives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lhcxtjeuwt3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1.3.1 Main Objective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3n74ep9l55e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1.3.2 Specific objectives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Scope and Limitations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ps3mi6k8uak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Significance of the Study</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_5kxajnsg6ug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q6ksd8d22wa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Introduction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ic4qob74a9e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C2PA Technical Specification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lx7yhfwdhf3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Description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4ahx5kx3tig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Critical analysis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6hlzj7pdc3a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Verizon Data Breach Investigations Report 2024</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f6fyrk3rvy1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EU Artificial Intelligence Act</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7ly07r4s1ft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Critical analysis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xudu4idgqdv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EMBER2024 Benchmark Dataset for Malware Classifiers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y6ndpi1pa9i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Synthesis and Gap Analysis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m3eqp103p7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 ProvGuard's Added Value</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_iz4gd0advdh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3.Conceptual Foundations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gamk61ihyjb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Key Terminology</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Prototype Overview</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Architecture</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layer</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Provenance engine</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engine</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9khh6hgrev9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Storage layer</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_77y7zeakxj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4.Relevance</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1nuhfj32xju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Global Relevance</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Local Relevance to Uganda</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Election cycles and information integrity</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money fraud</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Government digital services and software supply chain</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_bi83gd4cs5a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Recommendations and Future Work</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yazeck9d5ya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Short-term Recommendations</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Times New Roman" w:cs="Times New Roman" w:eastAsia="Times New Roman" w:hAnsi="Times New Roman"/>
              <w:color w:val="000000"/>
              <w:u w:val="none"/>
            </w:rPr>
          </w:pPr>
          <w:hyperlink w:anchor="_6xuc84vy0tf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Medium-term Recommendations</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Conclusion</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after="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Title"/>
        <w:spacing w:after="60" w:lineRule="auto"/>
        <w:jc w:val="left"/>
        <w:rPr>
          <w:rFonts w:ascii="Times New Roman" w:cs="Times New Roman" w:eastAsia="Times New Roman" w:hAnsi="Times New Roman"/>
          <w:b w:val="1"/>
          <w:bCs w:val="1"/>
          <w:sz w:val="24"/>
          <w:szCs w:val="24"/>
        </w:rPr>
      </w:pPr>
      <w:bookmarkStart w:colFirst="0" w:colLast="0" w:name="_p4oghdt0gdj" w:id="0"/>
      <w:bookmarkEnd w:id="0"/>
      <w:r w:rsidDel="00000000" w:rsidR="00000000" w:rsidRPr="00000000">
        <w:rPr>
          <w:rtl w:val="0"/>
        </w:rPr>
      </w:r>
    </w:p>
    <w:p w:rsidR="00000000" w:rsidDel="00000000" w:rsidP="00000000" w:rsidRDefault="00000000" w:rsidRPr="00000000" w14:paraId="0000006E">
      <w:pPr>
        <w:pStyle w:val="Heading1"/>
        <w:spacing w:after="60" w:lineRule="auto"/>
        <w:rPr>
          <w:rFonts w:ascii="Times New Roman" w:cs="Times New Roman" w:eastAsia="Times New Roman" w:hAnsi="Times New Roman"/>
        </w:rPr>
      </w:pPr>
      <w:bookmarkStart w:colFirst="0" w:colLast="0" w:name="_qxnw82vu7phm"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6F">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The proliferation of generative AI, software supply chain attacks, and large-scale digital fraud has exposed a fundamental weakness in modern cybersecurity: the field is overwhelmingly reactive. Antivirus tools detect malware after infection, banks flag fraud after transactions complete, and forensics begin only after a breach. This project examines an emerging response to this gap, the fusion of digital provenance and preemptive cybersecurity, and demonstrates that the two ideas, when combined, produce a defensible operating model summarised by the principle: trust by verification, not detection</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70">
      <w:pPr>
        <w:spacing w:after="120" w:before="0" w:line="30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Digital provenance establishes verifiable chains of custody for digital artifacts using cryptographic hashing, digital signatures, and emerging standards such as C2PA Content Credentials and the Software Bill of Materials. Preemptive cybersecurity intercepts threats before execution, using threat intelligence feeds, behavioural analysis, and tamper-evident logging. This report defines both technologies, contextualises their global and local relevance with particular attention to Uganda, identifies four sectoral applications, analyses technical, economic, security, and adoption challenges, and proposes a layered framework for national adoption. The argument is supported by ProvGuard, a working prototype implemented as a cryptographic verification gateway. ProvGuard hashes uploaded files with SHA-256, extracts provenance signals, queries the VirusTotal threat intelligence API, runs behavioural heuristics, and records every verification on a hash-chained ledger signed with RSA-2048. The system produces a Trusted, Suspicious, or Malicious verdict, issues a digitally signed PDF certificate, and detects ledger tampering by re-verifying the chain. The prototype is deployed publicly at </w:t>
      </w:r>
      <w:hyperlink r:id="rId8">
        <w:r w:rsidDel="00000000" w:rsidR="00000000" w:rsidRPr="00000000">
          <w:rPr>
            <w:rFonts w:ascii="Times New Roman" w:cs="Times New Roman" w:eastAsia="Times New Roman" w:hAnsi="Times New Roman"/>
            <w:i w:val="0"/>
            <w:iCs w:val="0"/>
            <w:sz w:val="24"/>
            <w:szCs w:val="24"/>
            <w:u w:val="single"/>
            <w:rtl w:val="0"/>
          </w:rPr>
          <w:t xml:space="preserve">provguard.onrender.com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and the source code is available at  </w:t>
      </w:r>
      <w:hyperlink r:id="rId9">
        <w:r w:rsidDel="00000000" w:rsidR="00000000" w:rsidRPr="00000000">
          <w:rPr>
            <w:rFonts w:ascii="Times New Roman" w:cs="Times New Roman" w:eastAsia="Times New Roman" w:hAnsi="Times New Roman"/>
            <w:i w:val="0"/>
            <w:iCs w:val="0"/>
            <w:sz w:val="24"/>
            <w:szCs w:val="24"/>
            <w:u w:val="single"/>
            <w:rtl w:val="0"/>
          </w:rPr>
          <w:t xml:space="preserve">github.com/Iyundhu/provguard</w:t>
        </w:r>
      </w:hyperlink>
      <w:r w:rsidDel="00000000" w:rsidR="00000000" w:rsidRPr="00000000">
        <w:rPr>
          <w:rtl w:val="0"/>
        </w:rPr>
      </w:r>
    </w:p>
    <w:p w:rsidR="00000000" w:rsidDel="00000000" w:rsidP="00000000" w:rsidRDefault="00000000" w:rsidRPr="00000000" w14:paraId="00000071">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This work concludes that digital provenance and preemptive cybersecurity, taken together, are not a future possibility but a present necessity for organisations operating in environments characterised by AI-generated misinformation, supply-chain compromise, and rising cyber-fraud. For Uganda specifically, recommendations include adoption of C2PA in election-period media, mandatory Software Bill of Materials in government procurement under NITA-U, integration of behavioural fraud preemption in mobile money operators, and capacity building in cybersecurity through universities and industry partnerships.</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7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w:t>
      </w:r>
    </w:p>
    <w:p w:rsidR="00000000" w:rsidDel="00000000" w:rsidP="00000000" w:rsidRDefault="00000000" w:rsidRPr="00000000" w14:paraId="00000078">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The digital landscape of 2026 differs in kind, not degree, from the one in which most existing cybersecurity tools were designed. Three forces are colliding . First, generative artificial intelligence has made it trivial to produce convincing forgeries of images, videos, voices, and text, eroding public ability to distinguish authentic content from synthetic. Second, software supply chains have become attack surfaces of their own, with major incidents such as SolarWinds, Kaseya, Log4Shell, and the XZ Utils backdoor demonstrating that even the most security-conscious organisations are vulnerable through dependencies they did not write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0"/>
          <w:iCs w:val="0"/>
          <w:sz w:val="24"/>
          <w:szCs w:val="24"/>
          <w:rtl w:val="0"/>
        </w:rPr>
        <w:t xml:space="preserve">. Third, financial systems have moved fully online, exposing billions of users to fraud at speeds that human review cannot match. Bank of Uganda data and industry reports estimate annual losses to mobile money fraud in the billions of shillings, the bulk of which is detected only after funds have moved.</w:t>
      </w:r>
      <w:r w:rsidDel="00000000" w:rsidR="00000000" w:rsidRPr="00000000">
        <w:rPr>
          <w:rtl w:val="0"/>
        </w:rPr>
      </w:r>
    </w:p>
    <w:p w:rsidR="00000000" w:rsidDel="00000000" w:rsidP="00000000" w:rsidRDefault="00000000" w:rsidRPr="00000000" w14:paraId="00000079">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In each case the underlying problem is the same: the systems we depend on cannot answer two basic questions. Where did this artifact come from? And, can it be trusted to act in the way it claims? Traditional security tools were built to react after the fact, scanning for known signatures, flagging anomalies in retrospect, and analysing breaches after they have occurred. The technology that this project examines proposes a different operating model, one organised around verification before action.</w:t>
      </w: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Statement of the Problem</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cybersecurity tools react to threats only after harm has occurred. They cannot verify a digital artifact's origin or integrity before it is admitted to a system, and they store verification records in databases that can be altered without detection. As a result, malware spreads through trusted updates, deepfakes circulate unchallenged, and mobile money fraud is detected only after funds have moved. No accessible solution combines provenance verification with preemptive threat analysis in a tamper-evident manner</w:t>
      </w:r>
    </w:p>
    <w:p w:rsidR="00000000" w:rsidDel="00000000" w:rsidP="00000000" w:rsidRDefault="00000000" w:rsidRPr="00000000" w14:paraId="0000007C">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Project Aim and Objectives</w:t>
      </w:r>
    </w:p>
    <w:p w:rsidR="00000000" w:rsidDel="00000000" w:rsidP="00000000" w:rsidRDefault="00000000" w:rsidRPr="00000000" w14:paraId="0000007D">
      <w:pPr>
        <w:pStyle w:val="Heading3"/>
        <w:rPr>
          <w:rFonts w:ascii="Times New Roman" w:cs="Times New Roman" w:eastAsia="Times New Roman" w:hAnsi="Times New Roman"/>
          <w:sz w:val="24"/>
          <w:szCs w:val="24"/>
        </w:rPr>
      </w:pPr>
      <w:bookmarkStart w:colFirst="0" w:colLast="0" w:name="_lhcxtjeuwt3g" w:id="2"/>
      <w:bookmarkEnd w:id="2"/>
      <w:r w:rsidDel="00000000" w:rsidR="00000000" w:rsidRPr="00000000">
        <w:rPr>
          <w:rFonts w:ascii="Times New Roman" w:cs="Times New Roman" w:eastAsia="Times New Roman" w:hAnsi="Times New Roman"/>
          <w:sz w:val="24"/>
          <w:szCs w:val="24"/>
          <w:rtl w:val="0"/>
        </w:rPr>
        <w:t xml:space="preserve">  </w:t>
        <w:tab/>
        <w:t xml:space="preserve">  1.3.1 Main Objective</w:t>
      </w:r>
    </w:p>
    <w:p w:rsidR="00000000" w:rsidDel="00000000" w:rsidP="00000000" w:rsidRDefault="00000000" w:rsidRPr="00000000" w14:paraId="0000007E">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This project aims to examine the field of digital provenance and preemptive cybersecurity, analyse its applications and challenges, propose practical solutions and recommendations, and demonstrate the concept through a working prototype.</w:t>
      </w:r>
      <w:r w:rsidDel="00000000" w:rsidR="00000000" w:rsidRPr="00000000">
        <w:rPr>
          <w:rtl w:val="0"/>
        </w:rPr>
      </w:r>
    </w:p>
    <w:p w:rsidR="00000000" w:rsidDel="00000000" w:rsidP="00000000" w:rsidRDefault="00000000" w:rsidRPr="00000000" w14:paraId="0000007F">
      <w:pPr>
        <w:pStyle w:val="Heading3"/>
        <w:spacing w:after="80" w:line="300" w:lineRule="auto"/>
        <w:ind w:firstLine="720"/>
        <w:jc w:val="both"/>
        <w:rPr>
          <w:rFonts w:ascii="Times New Roman" w:cs="Times New Roman" w:eastAsia="Times New Roman" w:hAnsi="Times New Roman"/>
          <w:sz w:val="24"/>
          <w:szCs w:val="24"/>
        </w:rPr>
      </w:pPr>
      <w:bookmarkStart w:colFirst="0" w:colLast="0" w:name="_9eqmx8vb82h9" w:id="3"/>
      <w:bookmarkEnd w:id="3"/>
      <w:r w:rsidDel="00000000" w:rsidR="00000000" w:rsidRPr="00000000">
        <w:rPr>
          <w:rtl w:val="0"/>
        </w:rPr>
      </w:r>
    </w:p>
    <w:p w:rsidR="00000000" w:rsidDel="00000000" w:rsidP="00000000" w:rsidRDefault="00000000" w:rsidRPr="00000000" w14:paraId="00000080">
      <w:pPr>
        <w:pStyle w:val="Heading3"/>
        <w:spacing w:after="80" w:line="300" w:lineRule="auto"/>
        <w:ind w:firstLine="720"/>
        <w:jc w:val="both"/>
        <w:rPr>
          <w:rFonts w:ascii="Times New Roman" w:cs="Times New Roman" w:eastAsia="Times New Roman" w:hAnsi="Times New Roman"/>
          <w:sz w:val="24"/>
          <w:szCs w:val="24"/>
        </w:rPr>
      </w:pPr>
      <w:bookmarkStart w:colFirst="0" w:colLast="0" w:name="_lifm28efqquj" w:id="4"/>
      <w:bookmarkEnd w:id="4"/>
      <w:r w:rsidDel="00000000" w:rsidR="00000000" w:rsidRPr="00000000">
        <w:rPr>
          <w:rtl w:val="0"/>
        </w:rPr>
      </w:r>
    </w:p>
    <w:p w:rsidR="00000000" w:rsidDel="00000000" w:rsidP="00000000" w:rsidRDefault="00000000" w:rsidRPr="00000000" w14:paraId="00000081">
      <w:pPr>
        <w:pStyle w:val="Heading3"/>
        <w:spacing w:after="80" w:line="300" w:lineRule="auto"/>
        <w:ind w:firstLine="720"/>
        <w:jc w:val="both"/>
        <w:rPr>
          <w:rFonts w:ascii="Times New Roman" w:cs="Times New Roman" w:eastAsia="Times New Roman" w:hAnsi="Times New Roman"/>
          <w:sz w:val="24"/>
          <w:szCs w:val="24"/>
        </w:rPr>
      </w:pPr>
      <w:bookmarkStart w:colFirst="0" w:colLast="0" w:name="_3n74ep9l55er" w:id="5"/>
      <w:bookmarkEnd w:id="5"/>
      <w:r w:rsidDel="00000000" w:rsidR="00000000" w:rsidRPr="00000000">
        <w:rPr>
          <w:rFonts w:ascii="Times New Roman" w:cs="Times New Roman" w:eastAsia="Times New Roman" w:hAnsi="Times New Roman"/>
          <w:sz w:val="24"/>
          <w:szCs w:val="24"/>
          <w:rtl w:val="0"/>
        </w:rPr>
        <w:t xml:space="preserve">1.3.2 Specific objectives </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define digital provenance and preemptive cybersecurity, explaining their core concepts and standards.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contextualise the technology globally and locally, with particular reference to Uganda.</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identify and analyse three or more real-world applications across distinct sectors.</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examine the technical, economic, security, and adoption challenges associated with the technology.</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propose practical solutions and a layered adoption framework suited to the Ugandan context.</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demonstrate the concept through ProvGuard, a working software prototype deployed for public access.</w:t>
      </w:r>
    </w:p>
    <w:p w:rsidR="00000000" w:rsidDel="00000000" w:rsidP="00000000" w:rsidRDefault="00000000" w:rsidRPr="00000000" w14:paraId="0000008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Scope and Limitations</w:t>
      </w:r>
    </w:p>
    <w:p w:rsidR="00000000" w:rsidDel="00000000" w:rsidP="00000000" w:rsidRDefault="00000000" w:rsidRPr="00000000" w14:paraId="00000089">
      <w:pPr>
        <w:spacing w:after="120" w:before="0" w:line="30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The scope of this report is limited to the conceptual, applied, and demonstrative aspects of digital provenance and preemptive cybersecurity. Mathematical proofs of cryptographic primitives are referenced but not derived. The ProvGuard prototype is a proof-of-concept system intended to demonstrate the fusion of the two technologies; it is not production-hardened and would require additional work for enterprise deployment. Specifically, the prototype uses a single-organisation hash-chained ledger rather than a distributed blockchain, an in-process cache for threat intelligence rather than a managed feed, and rule-based behavioural heuristics rather than a fully trained machine learning classifier. These limitations are discussed in Section 5.6 along with proposed future work.</w:t>
      </w:r>
    </w:p>
    <w:p w:rsidR="00000000" w:rsidDel="00000000" w:rsidP="00000000" w:rsidRDefault="00000000" w:rsidRPr="00000000" w14:paraId="0000008A">
      <w:pPr>
        <w:pStyle w:val="Heading2"/>
        <w:spacing w:after="40" w:before="240" w:line="300" w:lineRule="auto"/>
        <w:ind w:firstLine="0"/>
        <w:jc w:val="both"/>
        <w:rPr>
          <w:rFonts w:ascii="Times New Roman" w:cs="Times New Roman" w:eastAsia="Times New Roman" w:hAnsi="Times New Roman"/>
          <w:sz w:val="24"/>
          <w:szCs w:val="24"/>
        </w:rPr>
      </w:pPr>
      <w:bookmarkStart w:colFirst="0" w:colLast="0" w:name="_ps3mi6k8uakw" w:id="6"/>
      <w:bookmarkEnd w:id="6"/>
      <w:r w:rsidDel="00000000" w:rsidR="00000000" w:rsidRPr="00000000">
        <w:rPr>
          <w:rFonts w:ascii="Times New Roman" w:cs="Times New Roman" w:eastAsia="Times New Roman" w:hAnsi="Times New Roman"/>
          <w:sz w:val="24"/>
          <w:szCs w:val="24"/>
          <w:rtl w:val="0"/>
        </w:rPr>
        <w:t xml:space="preserve">1.5 Significance of the Study</w:t>
      </w:r>
    </w:p>
    <w:p w:rsidR="00000000" w:rsidDel="00000000" w:rsidP="00000000" w:rsidRDefault="00000000" w:rsidRPr="00000000" w14:paraId="0000008B">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contributes a unified framework and working prototype that demonstrate how digital provenance and preemptive cybersecurity can operate as a single trust-verification model. Its findings have direct value for the following stakeholders:</w:t>
      </w:r>
    </w:p>
    <w:p w:rsidR="00000000" w:rsidDel="00000000" w:rsidP="00000000" w:rsidRDefault="00000000" w:rsidRPr="00000000" w14:paraId="0000008C">
      <w:pPr>
        <w:spacing w:after="240" w:before="24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NITA-U and government agencies</w:t>
      </w:r>
      <w:r w:rsidDel="00000000" w:rsidR="00000000" w:rsidRPr="00000000">
        <w:rPr>
          <w:rFonts w:ascii="Times New Roman" w:cs="Times New Roman" w:eastAsia="Times New Roman" w:hAnsi="Times New Roman"/>
          <w:sz w:val="24"/>
          <w:szCs w:val="24"/>
          <w:rtl w:val="0"/>
        </w:rPr>
        <w:t xml:space="preserve"> — guidance for mandating Software Bills of Materials in public software procurement.</w:t>
      </w:r>
    </w:p>
    <w:p w:rsidR="00000000" w:rsidDel="00000000" w:rsidP="00000000" w:rsidRDefault="00000000" w:rsidRPr="00000000" w14:paraId="0000008D">
      <w:pPr>
        <w:spacing w:after="240" w:before="24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 of Uganda, banks, and mobile money operator</w:t>
      </w:r>
      <w:r w:rsidDel="00000000" w:rsidR="00000000" w:rsidRPr="00000000">
        <w:rPr>
          <w:rFonts w:ascii="Times New Roman" w:cs="Times New Roman" w:eastAsia="Times New Roman" w:hAnsi="Times New Roman"/>
          <w:sz w:val="24"/>
          <w:szCs w:val="24"/>
          <w:rtl w:val="0"/>
        </w:rPr>
        <w:t xml:space="preserve">s — a reference model for preemptive fraud detection that intercepts threats before funds move.</w:t>
      </w:r>
    </w:p>
    <w:p w:rsidR="00000000" w:rsidDel="00000000" w:rsidP="00000000" w:rsidRDefault="00000000" w:rsidRPr="00000000" w14:paraId="0000008E">
      <w:pPr>
        <w:spacing w:after="240" w:before="24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organisations and fact-checkers</w:t>
      </w:r>
      <w:r w:rsidDel="00000000" w:rsidR="00000000" w:rsidRPr="00000000">
        <w:rPr>
          <w:rFonts w:ascii="Times New Roman" w:cs="Times New Roman" w:eastAsia="Times New Roman" w:hAnsi="Times New Roman"/>
          <w:sz w:val="24"/>
          <w:szCs w:val="24"/>
          <w:rtl w:val="0"/>
        </w:rPr>
        <w:t xml:space="preserve"> — a route to C2PA adoption for combating deepfakes and election misinformation.</w:t>
      </w:r>
    </w:p>
    <w:p w:rsidR="00000000" w:rsidDel="00000000" w:rsidP="00000000" w:rsidRDefault="00000000" w:rsidRPr="00000000" w14:paraId="0000008F">
      <w:pPr>
        <w:spacing w:after="240" w:before="24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providers </w:t>
      </w:r>
      <w:r w:rsidDel="00000000" w:rsidR="00000000" w:rsidRPr="00000000">
        <w:rPr>
          <w:rFonts w:ascii="Times New Roman" w:cs="Times New Roman" w:eastAsia="Times New Roman" w:hAnsi="Times New Roman"/>
          <w:sz w:val="24"/>
          <w:szCs w:val="24"/>
          <w:rtl w:val="0"/>
        </w:rPr>
        <w:t xml:space="preserve">— tamper-evident audit trails for patient record systems such as UgandaEMR.</w:t>
      </w:r>
    </w:p>
    <w:p w:rsidR="00000000" w:rsidDel="00000000" w:rsidP="00000000" w:rsidRDefault="00000000" w:rsidRPr="00000000" w14:paraId="00000090">
      <w:pPr>
        <w:spacing w:after="240" w:before="24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Academia and developers </w:t>
      </w:r>
      <w:r w:rsidDel="00000000" w:rsidR="00000000" w:rsidRPr="00000000">
        <w:rPr>
          <w:rFonts w:ascii="Times New Roman" w:cs="Times New Roman" w:eastAsia="Times New Roman" w:hAnsi="Times New Roman"/>
          <w:sz w:val="24"/>
          <w:szCs w:val="24"/>
          <w:rtl w:val="0"/>
        </w:rPr>
        <w:t xml:space="preserve">— an open-source reference implementation supporting further research and teaching.</w:t>
      </w:r>
    </w:p>
    <w:p w:rsidR="00000000" w:rsidDel="00000000" w:rsidP="00000000" w:rsidRDefault="00000000" w:rsidRPr="00000000" w14:paraId="00000091">
      <w:pPr>
        <w:spacing w:after="240" w:before="24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general public </w:t>
      </w:r>
      <w:r w:rsidDel="00000000" w:rsidR="00000000" w:rsidRPr="00000000">
        <w:rPr>
          <w:rFonts w:ascii="Times New Roman" w:cs="Times New Roman" w:eastAsia="Times New Roman" w:hAnsi="Times New Roman"/>
          <w:sz w:val="24"/>
          <w:szCs w:val="24"/>
          <w:rtl w:val="0"/>
        </w:rPr>
        <w:t xml:space="preserve">— improved trust in the digital systems they depend on daily.</w:t>
      </w:r>
    </w:p>
    <w:p w:rsidR="00000000" w:rsidDel="00000000" w:rsidP="00000000" w:rsidRDefault="00000000" w:rsidRPr="00000000" w14:paraId="00000092">
      <w:pPr>
        <w:pStyle w:val="Heading1"/>
        <w:rPr>
          <w:rFonts w:ascii="Times New Roman" w:cs="Times New Roman" w:eastAsia="Times New Roman" w:hAnsi="Times New Roman"/>
          <w:sz w:val="24"/>
          <w:szCs w:val="24"/>
        </w:rPr>
      </w:pPr>
      <w:bookmarkStart w:colFirst="0" w:colLast="0" w:name="_5kxajnsg6ugf" w:id="7"/>
      <w:bookmarkEnd w:id="7"/>
      <w:r w:rsidDel="00000000" w:rsidR="00000000" w:rsidRPr="00000000">
        <w:rPr>
          <w:rFonts w:ascii="Times New Roman" w:cs="Times New Roman" w:eastAsia="Times New Roman" w:hAnsi="Times New Roman"/>
          <w:sz w:val="24"/>
          <w:szCs w:val="24"/>
          <w:rtl w:val="0"/>
        </w:rPr>
        <w:t xml:space="preserve">2. Literature Review</w:t>
      </w:r>
    </w:p>
    <w:p w:rsidR="00000000" w:rsidDel="00000000" w:rsidP="00000000" w:rsidRDefault="00000000" w:rsidRPr="00000000" w14:paraId="00000093">
      <w:pPr>
        <w:pStyle w:val="Heading2"/>
        <w:rPr>
          <w:rFonts w:ascii="Times New Roman" w:cs="Times New Roman" w:eastAsia="Times New Roman" w:hAnsi="Times New Roman"/>
          <w:sz w:val="24"/>
          <w:szCs w:val="24"/>
        </w:rPr>
      </w:pPr>
      <w:bookmarkStart w:colFirst="0" w:colLast="0" w:name="_q6ksd8d22wae" w:id="8"/>
      <w:bookmarkEnd w:id="8"/>
      <w:r w:rsidDel="00000000" w:rsidR="00000000" w:rsidRPr="00000000">
        <w:rPr>
          <w:rFonts w:ascii="Times New Roman" w:cs="Times New Roman" w:eastAsia="Times New Roman" w:hAnsi="Times New Roman"/>
          <w:sz w:val="24"/>
          <w:szCs w:val="24"/>
          <w:rtl w:val="0"/>
        </w:rPr>
        <w:t xml:space="preserve">2.1 Introduction</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four contemporary artifacts most directly relevant to the design of ProvGuard. Each artifact is examined for its objectives, technical approach, strengths, and limitations. The chapter then identifies the gaps that remain after these works are considered together, and positions ProvGuard's contribution against those gaps. The artifacts selected span industry standards, regulatory frameworks, empirical breach analysis, and academic benchmarks, providing coverage across both provenance and preemptive cybersecurity.</w:t>
      </w:r>
    </w:p>
    <w:p w:rsidR="00000000" w:rsidDel="00000000" w:rsidP="00000000" w:rsidRDefault="00000000" w:rsidRPr="00000000" w14:paraId="00000095">
      <w:pPr>
        <w:pStyle w:val="Heading2"/>
        <w:rPr>
          <w:rFonts w:ascii="Times New Roman" w:cs="Times New Roman" w:eastAsia="Times New Roman" w:hAnsi="Times New Roman"/>
          <w:sz w:val="24"/>
          <w:szCs w:val="24"/>
        </w:rPr>
      </w:pPr>
      <w:bookmarkStart w:colFirst="0" w:colLast="0" w:name="_ic4qob74a9eg" w:id="9"/>
      <w:bookmarkEnd w:id="9"/>
      <w:r w:rsidDel="00000000" w:rsidR="00000000" w:rsidRPr="00000000">
        <w:rPr>
          <w:rFonts w:ascii="Times New Roman" w:cs="Times New Roman" w:eastAsia="Times New Roman" w:hAnsi="Times New Roman"/>
          <w:sz w:val="24"/>
          <w:szCs w:val="24"/>
          <w:rtl w:val="0"/>
        </w:rPr>
        <w:t xml:space="preserve">2.2:</w:t>
      </w:r>
      <w:hyperlink r:id="rId10">
        <w:r w:rsidDel="00000000" w:rsidR="00000000" w:rsidRPr="00000000">
          <w:rPr>
            <w:rFonts w:ascii="Times New Roman" w:cs="Times New Roman" w:eastAsia="Times New Roman" w:hAnsi="Times New Roman"/>
            <w:color w:val="1155cc"/>
            <w:sz w:val="24"/>
            <w:szCs w:val="24"/>
            <w:u w:val="single"/>
            <w:rtl w:val="0"/>
          </w:rPr>
          <w:t xml:space="preserve"> C2PA Technical Specification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pStyle w:val="Heading3"/>
        <w:spacing w:after="80" w:before="280" w:lineRule="auto"/>
        <w:rPr>
          <w:rFonts w:ascii="Times New Roman" w:cs="Times New Roman" w:eastAsia="Times New Roman" w:hAnsi="Times New Roman"/>
          <w:color w:val="000000"/>
          <w:sz w:val="24"/>
          <w:szCs w:val="24"/>
        </w:rPr>
      </w:pPr>
      <w:bookmarkStart w:colFirst="0" w:colLast="0" w:name="_lx7yhfwdhf39" w:id="10"/>
      <w:bookmarkEnd w:id="10"/>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Coalition for Content Provenance and Authenticity (C2PA), a Linux Foundation Joint Development Foundation project, publishes an open technical specification for embedding tamper-evident provenance metadata into digital media. The standard is the result of collaboration among Adobe, Microsoft, BBC, Sony, Intel, Truepic, OpenAI, and Google, among more than three hundred member organisations. Version 2.1 introduces a public Trust List, a Conformance Programme, hardened cryptographic constructs, and richer assertion models for AI-generated content. The specification defines how publishers, creators, and consumers can attach cryptographically bound manifests to assets, recording who created them, what edits were applied, when, and by which tools.[3]</w:t>
      </w:r>
    </w:p>
    <w:p w:rsidR="00000000" w:rsidDel="00000000" w:rsidP="00000000" w:rsidRDefault="00000000" w:rsidRPr="00000000" w14:paraId="00000098">
      <w:pPr>
        <w:pStyle w:val="Heading3"/>
        <w:spacing w:after="80" w:before="280" w:lineRule="auto"/>
        <w:rPr>
          <w:rFonts w:ascii="Times New Roman" w:cs="Times New Roman" w:eastAsia="Times New Roman" w:hAnsi="Times New Roman"/>
          <w:color w:val="000000"/>
          <w:sz w:val="24"/>
          <w:szCs w:val="24"/>
        </w:rPr>
      </w:pPr>
      <w:bookmarkStart w:colFirst="0" w:colLast="0" w:name="_4ahx5kx3tigx" w:id="11"/>
      <w:bookmarkEnd w:id="11"/>
      <w:r w:rsidDel="00000000" w:rsidR="00000000" w:rsidRPr="00000000">
        <w:rPr>
          <w:rFonts w:ascii="Times New Roman" w:cs="Times New Roman" w:eastAsia="Times New Roman" w:hAnsi="Times New Roman"/>
          <w:color w:val="000000"/>
          <w:sz w:val="24"/>
          <w:szCs w:val="24"/>
          <w:rtl w:val="0"/>
        </w:rPr>
        <w:t xml:space="preserve">Critical analysis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C2PA is the most mature open standard for media provenance globally. It is built on established cryptographic primitives i.e X.509 certificates, CBOR encoding, and JUMBF containers  rather than inventing new mechanisms, which substantially lowers integration cost. The standard is adopted by camera manufacturers (Sony Alpha 1 II, Leica M11-P), media houses (BBC, The New York Times), and major generative AI providers (OpenAI for Sora outputs).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C2PA addresses content provenance but says nothing about preemptive threat analysis ,its scope is limited to authenticity, not safety. The standard also assumes a sophisticated public-key infrastructure that small organisations and developing-country contexts may lack. Validation of C2PA assertions requires the official c2pa-rs library, whose native Rust dependencies are non-trivial to deploy on free-tier cloud infrastructure. Lastly, C2PA is opt-in; in environments where adoption is uneven, files without credentials remain ambiguous.</w:t>
      </w:r>
    </w:p>
    <w:p w:rsidR="00000000" w:rsidDel="00000000" w:rsidP="00000000" w:rsidRDefault="00000000" w:rsidRPr="00000000" w14:paraId="0000009B">
      <w:pPr>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ProvGuard</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ProvGuard integrates C2PA-style provenance signals into its verification pipeline by scanning uploaded files for C2PA markers. Where C2PA is concerned only with whether a file's origin can be verified, ProvGuard adds preemptive threat analysis on top, so files with valid provenance are still subjected to malware checks, and files without provenance are still subjected to behavioural analysis. ProvGuard thus extends the C2PA model from "trust the origin" to "trust the origin and the safety."</w:t>
      </w:r>
    </w:p>
    <w:p w:rsidR="00000000" w:rsidDel="00000000" w:rsidP="00000000" w:rsidRDefault="00000000" w:rsidRPr="00000000" w14:paraId="0000009D">
      <w:pPr>
        <w:pStyle w:val="Heading2"/>
        <w:rPr>
          <w:rFonts w:ascii="Times New Roman" w:cs="Times New Roman" w:eastAsia="Times New Roman" w:hAnsi="Times New Roman"/>
          <w:sz w:val="24"/>
          <w:szCs w:val="24"/>
        </w:rPr>
      </w:pPr>
      <w:bookmarkStart w:colFirst="0" w:colLast="0" w:name="_6hlzj7pdc3a2" w:id="12"/>
      <w:bookmarkEnd w:id="12"/>
      <w:r w:rsidDel="00000000" w:rsidR="00000000" w:rsidRPr="00000000">
        <w:rPr>
          <w:rFonts w:ascii="Times New Roman" w:cs="Times New Roman" w:eastAsia="Times New Roman" w:hAnsi="Times New Roman"/>
          <w:sz w:val="24"/>
          <w:szCs w:val="24"/>
          <w:rtl w:val="0"/>
        </w:rPr>
        <w:t xml:space="preserve">2.3 </w:t>
      </w:r>
      <w:hyperlink r:id="rId11">
        <w:r w:rsidDel="00000000" w:rsidR="00000000" w:rsidRPr="00000000">
          <w:rPr>
            <w:rFonts w:ascii="Times New Roman" w:cs="Times New Roman" w:eastAsia="Times New Roman" w:hAnsi="Times New Roman"/>
            <w:color w:val="1155cc"/>
            <w:sz w:val="24"/>
            <w:szCs w:val="24"/>
            <w:u w:val="single"/>
            <w:rtl w:val="0"/>
          </w:rPr>
          <w:t xml:space="preserve">Verizon Data Breach Investigations Report 2024</w:t>
        </w:r>
      </w:hyperlink>
      <w:r w:rsidDel="00000000" w:rsidR="00000000" w:rsidRPr="00000000">
        <w:rPr>
          <w:rtl w:val="0"/>
        </w:rPr>
      </w:r>
    </w:p>
    <w:p w:rsidR="00000000" w:rsidDel="00000000" w:rsidP="00000000" w:rsidRDefault="00000000" w:rsidRPr="00000000" w14:paraId="0000009E">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Verizon DBIR is an annual empirical study of cybersecurity incidents, drawing on over ten thousand confirmed breaches and incident records contributed by partner organisations. The 2024 edition is the largest in the report's seventeen-year history. Of particular relevance, the report introduces  for the first time  an expanded concept of breach involving third parties, capturing partner-infrastructure compromises, direct and indirect software supply-chain incidents, and breaches resulting from vulnerabilities in third-party software[4].</w:t>
      </w:r>
    </w:p>
    <w:p w:rsidR="00000000" w:rsidDel="00000000" w:rsidP="00000000" w:rsidRDefault="00000000" w:rsidRPr="00000000" w14:paraId="000000A0">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analysis</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The DBIR is the most authoritative annual breach study, with methodologies refined over nearly two decades and contributions from law enforcement, incident responders, and industry partners. Its 2024 finding that fifteen per cent of breaches involved a third-party or supply-chain element, a sixty-eight per cent year-on-year increase, provides empirical grounding for the supply-chain threats that motivate this project. The report also documents that exploitation of vulnerabilities tripled as an initial access vector compared with 2023, that the median financial loss to ransomware reached USD 46,000 per breach, and that the average time to remediate a known vulnerability after patch availability remained at fifty-five days.</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w:t>
      </w:r>
      <w:r w:rsidDel="00000000" w:rsidR="00000000" w:rsidRPr="00000000">
        <w:rPr>
          <w:rFonts w:ascii="Times New Roman" w:cs="Times New Roman" w:eastAsia="Times New Roman" w:hAnsi="Times New Roman"/>
          <w:sz w:val="24"/>
          <w:szCs w:val="24"/>
          <w:rtl w:val="0"/>
        </w:rPr>
        <w:t xml:space="preserve">The DBIR is an industry report rather than a peer-reviewed study, and contributors are self-selected. Geographic coverage is uneven, with sub-Saharan Africa under-represented. The report describes the problem space comprehensively but proposes no specific technical countermeasures; it diagnoses rather than treats.</w:t>
      </w:r>
    </w:p>
    <w:p w:rsidR="00000000" w:rsidDel="00000000" w:rsidP="00000000" w:rsidRDefault="00000000" w:rsidRPr="00000000" w14:paraId="000000A3">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ProvGuard</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DBIR establishes that supply-chain compromise is a fast-growing, empirically significant attack vector, and that vulnerabilities are exploited faster than organisations can patch. Both findings argue for preemptive rather than reactive controls, which is precisely what ProvGuard implements. The report does not, however, propose a technical solution; ProvGuard fills that gap with a working prototype that addresses the kind of supply-chain and integrity threats the DBIR documents.</w:t>
      </w:r>
    </w:p>
    <w:p w:rsidR="00000000" w:rsidDel="00000000" w:rsidP="00000000" w:rsidRDefault="00000000" w:rsidRPr="00000000" w14:paraId="000000A5">
      <w:pPr>
        <w:pStyle w:val="Heading2"/>
        <w:rPr>
          <w:rFonts w:ascii="Times New Roman" w:cs="Times New Roman" w:eastAsia="Times New Roman" w:hAnsi="Times New Roman"/>
          <w:sz w:val="24"/>
          <w:szCs w:val="24"/>
        </w:rPr>
      </w:pPr>
      <w:bookmarkStart w:colFirst="0" w:colLast="0" w:name="_f6fyrk3rvy1c" w:id="13"/>
      <w:bookmarkEnd w:id="13"/>
      <w:r w:rsidDel="00000000" w:rsidR="00000000" w:rsidRPr="00000000">
        <w:rPr>
          <w:rFonts w:ascii="Times New Roman" w:cs="Times New Roman" w:eastAsia="Times New Roman" w:hAnsi="Times New Roman"/>
          <w:sz w:val="24"/>
          <w:szCs w:val="24"/>
          <w:rtl w:val="0"/>
        </w:rPr>
        <w:t xml:space="preserve">2.4 </w:t>
      </w:r>
      <w:hyperlink r:id="rId12">
        <w:r w:rsidDel="00000000" w:rsidR="00000000" w:rsidRPr="00000000">
          <w:rPr>
            <w:rFonts w:ascii="Times New Roman" w:cs="Times New Roman" w:eastAsia="Times New Roman" w:hAnsi="Times New Roman"/>
            <w:color w:val="1155cc"/>
            <w:sz w:val="24"/>
            <w:szCs w:val="24"/>
            <w:u w:val="single"/>
            <w:rtl w:val="0"/>
          </w:rPr>
          <w:t xml:space="preserve">EU Artificial Intelligence Act </w:t>
        </w:r>
      </w:hyperlink>
      <w:r w:rsidDel="00000000" w:rsidR="00000000" w:rsidRPr="00000000">
        <w:rPr>
          <w:rtl w:val="0"/>
        </w:rPr>
      </w:r>
    </w:p>
    <w:p w:rsidR="00000000" w:rsidDel="00000000" w:rsidP="00000000" w:rsidRDefault="00000000" w:rsidRPr="00000000" w14:paraId="000000A6">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 AI Act, which entered into force on 1 August 2024, is the world's first comprehensive legal framework for artificial intelligence. Article 50 specifically governs transparency obligations for providers and deployers of AI systems. Providers of generative AI must mark outputs as artificially generated using machine-readable techniques, and deployers of systems generating deepfakes must disclose the artificial origin to natural persons. Recital 134 explicitly endorses watermarking, metadata identifiers, cryptographic methods for proving provenance and authenticity of content, logging mechanisms, and fingerprinting as acceptable technical implementations. Non-compliance carries fines of up to fifteen million euros or three per cent of global annual turnover. The transparency obligations apply from 2 August 2026[5].</w:t>
      </w:r>
    </w:p>
    <w:p w:rsidR="00000000" w:rsidDel="00000000" w:rsidP="00000000" w:rsidRDefault="00000000" w:rsidRPr="00000000" w14:paraId="000000A8">
      <w:pPr>
        <w:pStyle w:val="Heading3"/>
        <w:spacing w:after="80" w:before="280" w:lineRule="auto"/>
        <w:rPr>
          <w:rFonts w:ascii="Times New Roman" w:cs="Times New Roman" w:eastAsia="Times New Roman" w:hAnsi="Times New Roman"/>
          <w:color w:val="000000"/>
          <w:sz w:val="24"/>
          <w:szCs w:val="24"/>
        </w:rPr>
      </w:pPr>
      <w:bookmarkStart w:colFirst="0" w:colLast="0" w:name="_7ly07r4s1fth" w:id="14"/>
      <w:bookmarkEnd w:id="14"/>
      <w:r w:rsidDel="00000000" w:rsidR="00000000" w:rsidRPr="00000000">
        <w:rPr>
          <w:rFonts w:ascii="Times New Roman" w:cs="Times New Roman" w:eastAsia="Times New Roman" w:hAnsi="Times New Roman"/>
          <w:color w:val="000000"/>
          <w:sz w:val="24"/>
          <w:szCs w:val="24"/>
          <w:rtl w:val="0"/>
        </w:rPr>
        <w:t xml:space="preserve">Critical analysis</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Article 50 represents the first binding legal requirement for AI content provenance in any major jurisdiction. By naming "cryptographic methods for proving provenance" in the recitals, the regulation lends regulatory weight to standards such as C2PA. The "Brussels Effect"  by which EU regulations shape global practice means non-EU companies operating in EU markets will adopt these standards too, accelerating worldwide adoption.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Compliance mechanisms remain ambiguous. The Draft Code of Practice published in early 2026 acknowledges that no single technique satisfies Article 50, recommending a multi-layered approach combining metadata, watermarking, fingerprinting, and logging. Recent academic analysis (Arxiv 2503.18156, 2025) demonstrates that watermarking is fragile under standard data processing, and that the deepfake definition itself is contested. Implementation in developing economies  where the regulation does not apply directly but where compliant tooling must still be available is not addressed.</w:t>
      </w:r>
    </w:p>
    <w:p w:rsidR="00000000" w:rsidDel="00000000" w:rsidP="00000000" w:rsidRDefault="00000000" w:rsidRPr="00000000" w14:paraId="000000AB">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ProvGuard</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 AI Act validates the regulatory direction in which ProvGuard's design moves. By integrating cryptographic provenance with preemptive threat analysis, ProvGuard already implements the kind of "multi-layered" verification the EU Draft Code of Practice will require. For Ugandan policymakers contemplating similar regulation, ProvGuard provides a concrete reference architecture demonstrating that compliance is technically feasible at low cost.</w:t>
      </w:r>
    </w:p>
    <w:p w:rsidR="00000000" w:rsidDel="00000000" w:rsidP="00000000" w:rsidRDefault="00000000" w:rsidRPr="00000000" w14:paraId="000000AD">
      <w:pPr>
        <w:pStyle w:val="Heading2"/>
        <w:rPr>
          <w:rFonts w:ascii="Times New Roman" w:cs="Times New Roman" w:eastAsia="Times New Roman" w:hAnsi="Times New Roman"/>
          <w:sz w:val="24"/>
          <w:szCs w:val="24"/>
        </w:rPr>
      </w:pPr>
      <w:bookmarkStart w:colFirst="0" w:colLast="0" w:name="_xudu4idgqdvj" w:id="15"/>
      <w:bookmarkEnd w:id="15"/>
      <w:r w:rsidDel="00000000" w:rsidR="00000000" w:rsidRPr="00000000">
        <w:rPr>
          <w:rFonts w:ascii="Times New Roman" w:cs="Times New Roman" w:eastAsia="Times New Roman" w:hAnsi="Times New Roman"/>
          <w:sz w:val="24"/>
          <w:szCs w:val="24"/>
          <w:rtl w:val="0"/>
        </w:rPr>
        <w:t xml:space="preserve">2.5 </w:t>
      </w:r>
      <w:hyperlink r:id="rId13">
        <w:r w:rsidDel="00000000" w:rsidR="00000000" w:rsidRPr="00000000">
          <w:rPr>
            <w:rFonts w:ascii="Times New Roman" w:cs="Times New Roman" w:eastAsia="Times New Roman" w:hAnsi="Times New Roman"/>
            <w:color w:val="1155cc"/>
            <w:sz w:val="24"/>
            <w:szCs w:val="24"/>
            <w:u w:val="single"/>
            <w:rtl w:val="0"/>
          </w:rPr>
          <w:t xml:space="preserve">EMBER2024 Benchmark Dataset for Malware Classifiers</w:t>
        </w:r>
      </w:hyperlink>
      <w:r w:rsidDel="00000000" w:rsidR="00000000" w:rsidRPr="00000000">
        <w:rPr>
          <w:rtl w:val="0"/>
        </w:rPr>
      </w:r>
    </w:p>
    <w:p w:rsidR="00000000" w:rsidDel="00000000" w:rsidP="00000000" w:rsidRDefault="00000000" w:rsidRPr="00000000" w14:paraId="000000AE">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EMBER2024 is an open benchmark dataset for training and evaluating machine learning classifiers that detect malware from static file features. Released by industry researchers including authors from CrowdStrike and the original EMBER team, it contains hashes, metadata, feature vectors, and labels for more than 3.2 million files across six file formats (PE, ELF, Mach-O, PDF, Office, APK). EMBER2024 is the first malware dataset to support multiple classification tasks simultaneously  binary malware detection, family classification, and behaviour identification  and the first to include a "challenge" set of advanced malware specifically constructed to evade existing antivirus products[6].</w:t>
      </w:r>
    </w:p>
    <w:p w:rsidR="00000000" w:rsidDel="00000000" w:rsidP="00000000" w:rsidRDefault="00000000" w:rsidRPr="00000000" w14:paraId="000000B0">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analysis</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EMBER established and EMBER2024 extends the de facto standard for academic and industrial malware research. By using static features only (no dynamic execution), classifiers trained on EMBER can make decisions before a file is run  a strict precondition for preemptive cybersecurity. The dataset is large, freely available, and supports reproducible research. Baseline gradient-boosted decision tree models achieve ROC-AUC scores above 0.99 on the original EMBER dataset, demonstrating that high-quality preemptive detection is achievable.</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EMBER focuses on portable executable malware and a small set of related formats; it does not directly address provenance, AI-generated content, or behavioural fraud in financial systems. Static features alone are vulnerable to packing, encryption, and adversarial evasion  research published in 2024 (Arxiv 2503.18156) shows that top-ranked features in EMBER-trained models are often packing artifacts rather than truly malicious semantics. The dataset also lacks the geographic and platform diversity needed for African deployment contexts.</w:t>
      </w:r>
    </w:p>
    <w:p w:rsidR="00000000" w:rsidDel="00000000" w:rsidP="00000000" w:rsidRDefault="00000000" w:rsidRPr="00000000" w14:paraId="000000B3">
      <w:pPr>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ProvGuard</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 demonstrates that preemptive, static-feature-based malware detection is technically achievable and well-studied. ProvGuard's behavioural analysis module operates on the same principles  entropy analysis, magic-byte mismatch detection, structural pattern matching  that EMBER's classifiers learn from data. Where EMBER provides a labelled corpus for training sophisticated machine learning models, ProvGuard implements a deployable, rule-based subset that can run on free-tier infrastructure and produce explainable decisions. EMBER also signals the natural extension path for ProvGuard: replacing the rule-based behavioural engine with a trained classifier as part of future work.</w:t>
      </w:r>
    </w:p>
    <w:p w:rsidR="00000000" w:rsidDel="00000000" w:rsidP="00000000" w:rsidRDefault="00000000" w:rsidRPr="00000000" w14:paraId="000000B5">
      <w:pPr>
        <w:pStyle w:val="Heading2"/>
        <w:rPr>
          <w:rFonts w:ascii="Times New Roman" w:cs="Times New Roman" w:eastAsia="Times New Roman" w:hAnsi="Times New Roman"/>
          <w:sz w:val="24"/>
          <w:szCs w:val="24"/>
        </w:rPr>
      </w:pPr>
      <w:bookmarkStart w:colFirst="0" w:colLast="0" w:name="_y6ndpi1pa9i4" w:id="16"/>
      <w:bookmarkEnd w:id="16"/>
      <w:r w:rsidDel="00000000" w:rsidR="00000000" w:rsidRPr="00000000">
        <w:rPr>
          <w:rFonts w:ascii="Times New Roman" w:cs="Times New Roman" w:eastAsia="Times New Roman" w:hAnsi="Times New Roman"/>
          <w:sz w:val="24"/>
          <w:szCs w:val="24"/>
          <w:rtl w:val="0"/>
        </w:rPr>
        <w:t xml:space="preserve">2.7 Synthesis and Gap Analysis</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reviewed artifact contributes a distinct piece of the trust-verification puzzle: C2PA defines how to prove origin, the DBIR documents the empirical threat landscape, the EU AI Act establishes the regulatory imperative, and EMBER provides the technical foundation for preemptive detection. However, three gaps remain when these works are considered together:</w:t>
      </w:r>
    </w:p>
    <w:p w:rsidR="00000000" w:rsidDel="00000000" w:rsidP="00000000" w:rsidRDefault="00000000" w:rsidRPr="00000000" w14:paraId="000000B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Fragmentation.</w:t>
      </w:r>
      <w:r w:rsidDel="00000000" w:rsidR="00000000" w:rsidRPr="00000000">
        <w:rPr>
          <w:rFonts w:ascii="Times New Roman" w:cs="Times New Roman" w:eastAsia="Times New Roman" w:hAnsi="Times New Roman"/>
          <w:sz w:val="24"/>
          <w:szCs w:val="24"/>
          <w:rtl w:val="0"/>
        </w:rPr>
        <w:t xml:space="preserve"> No reviewed artifact combines provenance verification, preemptive threat analysis, and tamper-evident decision logging in a single system. C2PA does provenance but not threat detection; EMBER does threat detection but not provenance; the DBIR and EU AI Act describe the problem but do not solve it.</w:t>
        <w:br w:type="textWrapping"/>
        <w:tab/>
      </w:r>
      <w:r w:rsidDel="00000000" w:rsidR="00000000" w:rsidRPr="00000000">
        <w:rPr>
          <w:rFonts w:ascii="Times New Roman" w:cs="Times New Roman" w:eastAsia="Times New Roman" w:hAnsi="Times New Roman"/>
          <w:b w:val="1"/>
          <w:bCs w:val="1"/>
          <w:sz w:val="24"/>
          <w:szCs w:val="24"/>
          <w:rtl w:val="0"/>
        </w:rPr>
        <w:t xml:space="preserve">Deployment cost</w:t>
      </w:r>
      <w:r w:rsidDel="00000000" w:rsidR="00000000" w:rsidRPr="00000000">
        <w:rPr>
          <w:rFonts w:ascii="Times New Roman" w:cs="Times New Roman" w:eastAsia="Times New Roman" w:hAnsi="Times New Roman"/>
          <w:sz w:val="24"/>
          <w:szCs w:val="24"/>
          <w:rtl w:val="0"/>
        </w:rPr>
        <w:t xml:space="preserve">. Existing implementations assume well-resourced organisations with cryptographic infrastructure, machine learning operations capacity, and compliance staff. None of the reviewed artifacts addresses the resource and skills environment of organisations in Uganda or comparable jurisdictions.</w:t>
        <w:br w:type="textWrapping"/>
        <w:tab/>
      </w:r>
      <w:r w:rsidDel="00000000" w:rsidR="00000000" w:rsidRPr="00000000">
        <w:rPr>
          <w:rFonts w:ascii="Times New Roman" w:cs="Times New Roman" w:eastAsia="Times New Roman" w:hAnsi="Times New Roman"/>
          <w:b w:val="1"/>
          <w:bCs w:val="1"/>
          <w:sz w:val="24"/>
          <w:szCs w:val="24"/>
          <w:rtl w:val="0"/>
        </w:rPr>
        <w:t xml:space="preserve">Ledger integrity.</w:t>
      </w:r>
      <w:r w:rsidDel="00000000" w:rsidR="00000000" w:rsidRPr="00000000">
        <w:rPr>
          <w:rFonts w:ascii="Times New Roman" w:cs="Times New Roman" w:eastAsia="Times New Roman" w:hAnsi="Times New Roman"/>
          <w:sz w:val="24"/>
          <w:szCs w:val="24"/>
          <w:rtl w:val="0"/>
        </w:rPr>
        <w:t xml:space="preserve"> Although C2PA records provenance at the artifact level, none of the reviewed artifacts maintains a tamper-evident system-level audit trail covering all verifications, signed in such a way that even an insider with database access cannot rewrite history.</w:t>
        <w:br w:type="textWrapping"/>
      </w:r>
    </w:p>
    <w:p w:rsidR="00000000" w:rsidDel="00000000" w:rsidP="00000000" w:rsidRDefault="00000000" w:rsidRPr="00000000" w14:paraId="000000B8">
      <w:pPr>
        <w:pStyle w:val="Heading2"/>
        <w:rPr>
          <w:rFonts w:ascii="Times New Roman" w:cs="Times New Roman" w:eastAsia="Times New Roman" w:hAnsi="Times New Roman"/>
          <w:sz w:val="24"/>
          <w:szCs w:val="24"/>
        </w:rPr>
      </w:pPr>
      <w:bookmarkStart w:colFirst="0" w:colLast="0" w:name="_m3eqp103p7b" w:id="17"/>
      <w:bookmarkEnd w:id="17"/>
      <w:r w:rsidDel="00000000" w:rsidR="00000000" w:rsidRPr="00000000">
        <w:rPr>
          <w:rFonts w:ascii="Times New Roman" w:cs="Times New Roman" w:eastAsia="Times New Roman" w:hAnsi="Times New Roman"/>
          <w:sz w:val="24"/>
          <w:szCs w:val="24"/>
          <w:rtl w:val="0"/>
        </w:rPr>
        <w:t xml:space="preserve">2.8 ProvGuard's Added Value</w:t>
      </w:r>
    </w:p>
    <w:p w:rsidR="00000000" w:rsidDel="00000000" w:rsidP="00000000" w:rsidRDefault="00000000" w:rsidRPr="00000000" w14:paraId="000000B9">
      <w:pPr>
        <w:spacing w:after="240" w:befor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ProvGuard addresses all three gaps directly. It integrates C2PA-style provenance verification with VirusTotal threat intelligence and structural behavioural analysis into a single decision pipeline, producing a unified verdict (Trusted, Suspicious, or Malicious) for any uploaded file. It is implemented on free-tier infrastructure using open-source components and is publicly deployed </w:t>
      </w:r>
      <w:hyperlink r:id="rId14">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color w:val="000000"/>
          <w:sz w:val="24"/>
          <w:szCs w:val="24"/>
          <w:rtl w:val="0"/>
        </w:rPr>
        <w:t xml:space="preserve">, demonstrating that the integrated model is achievable without enterprise budgets. It maintains a hash-chained ledger of every verification, with each block digitally signed using RSA-2048, providing tamper-evident audit capability that none of the reviewed artifacts offers in a deployable form.</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of this project is therefore not the invention of new cryptographic primitives, but the integration of established components into a coherent operating model </w:t>
      </w:r>
      <w:r w:rsidDel="00000000" w:rsidR="00000000" w:rsidRPr="00000000">
        <w:rPr>
          <w:rFonts w:ascii="Times New Roman" w:cs="Times New Roman" w:eastAsia="Times New Roman" w:hAnsi="Times New Roman"/>
          <w:i w:val="1"/>
          <w:iCs w:val="1"/>
          <w:sz w:val="24"/>
          <w:szCs w:val="24"/>
          <w:rtl w:val="0"/>
        </w:rPr>
        <w:t xml:space="preserve">trust by verification, not detection</w:t>
      </w:r>
      <w:r w:rsidDel="00000000" w:rsidR="00000000" w:rsidRPr="00000000">
        <w:rPr>
          <w:rFonts w:ascii="Times New Roman" w:cs="Times New Roman" w:eastAsia="Times New Roman" w:hAnsi="Times New Roman"/>
          <w:sz w:val="24"/>
          <w:szCs w:val="24"/>
          <w:rtl w:val="0"/>
        </w:rPr>
        <w:t xml:space="preserve">  suitable for adoption in Uganda's financial, governmental, media, and healthcare sectors.</w:t>
      </w:r>
    </w:p>
    <w:p w:rsidR="00000000" w:rsidDel="00000000" w:rsidP="00000000" w:rsidRDefault="00000000" w:rsidRPr="00000000" w14:paraId="000000BB">
      <w:pPr>
        <w:pStyle w:val="Heading1"/>
        <w:spacing w:after="80" w:before="360" w:line="300" w:lineRule="auto"/>
        <w:jc w:val="both"/>
        <w:rPr>
          <w:rFonts w:ascii="Times New Roman" w:cs="Times New Roman" w:eastAsia="Times New Roman" w:hAnsi="Times New Roman"/>
          <w:sz w:val="24"/>
          <w:szCs w:val="24"/>
        </w:rPr>
      </w:pPr>
      <w:bookmarkStart w:colFirst="0" w:colLast="0" w:name="_iz4gd0advdh0" w:id="18"/>
      <w:bookmarkEnd w:id="18"/>
      <w:r w:rsidDel="00000000" w:rsidR="00000000" w:rsidRPr="00000000">
        <w:rPr>
          <w:rFonts w:ascii="Times New Roman" w:cs="Times New Roman" w:eastAsia="Times New Roman" w:hAnsi="Times New Roman"/>
          <w:sz w:val="24"/>
          <w:szCs w:val="24"/>
          <w:rtl w:val="0"/>
        </w:rPr>
        <w:t xml:space="preserve">3.Conceptual Foundations</w:t>
      </w:r>
    </w:p>
    <w:p w:rsidR="00000000" w:rsidDel="00000000" w:rsidP="00000000" w:rsidRDefault="00000000" w:rsidRPr="00000000" w14:paraId="000000BC">
      <w:pPr>
        <w:pStyle w:val="Heading2"/>
        <w:spacing w:after="80" w:before="280" w:line="300" w:lineRule="auto"/>
        <w:jc w:val="both"/>
        <w:rPr>
          <w:rFonts w:ascii="Times New Roman" w:cs="Times New Roman" w:eastAsia="Times New Roman" w:hAnsi="Times New Roman"/>
          <w:sz w:val="24"/>
          <w:szCs w:val="24"/>
        </w:rPr>
      </w:pPr>
      <w:bookmarkStart w:colFirst="0" w:colLast="0" w:name="_gamk61ihyjb8" w:id="19"/>
      <w:bookmarkEnd w:id="19"/>
      <w:r w:rsidDel="00000000" w:rsidR="00000000" w:rsidRPr="00000000">
        <w:rPr>
          <w:rFonts w:ascii="Times New Roman" w:cs="Times New Roman" w:eastAsia="Times New Roman" w:hAnsi="Times New Roman"/>
          <w:sz w:val="24"/>
          <w:szCs w:val="24"/>
          <w:rtl w:val="0"/>
        </w:rPr>
        <w:t xml:space="preserve">3.1 Key Terminology</w:t>
      </w:r>
    </w:p>
    <w:p w:rsidR="00000000" w:rsidDel="00000000" w:rsidP="00000000" w:rsidRDefault="00000000" w:rsidRPr="00000000" w14:paraId="000000BD">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rests on a small set of interrelated concepts. Each is defined here precisely, because the rest of the report  and the prototype it describes depends on a shared understanding of these terms.</w:t>
      </w:r>
    </w:p>
    <w:p w:rsidR="00000000" w:rsidDel="00000000" w:rsidP="00000000" w:rsidRDefault="00000000" w:rsidRPr="00000000" w14:paraId="000000BE">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provenance</w:t>
      </w:r>
      <w:r w:rsidDel="00000000" w:rsidR="00000000" w:rsidRPr="00000000">
        <w:rPr>
          <w:rFonts w:ascii="Times New Roman" w:cs="Times New Roman" w:eastAsia="Times New Roman" w:hAnsi="Times New Roman"/>
          <w:sz w:val="24"/>
          <w:szCs w:val="24"/>
          <w:rtl w:val="0"/>
        </w:rPr>
        <w:t xml:space="preserve"> is the verifiable chain of custody for a digital artifact. It answers four questions: who created the artifact, when, what was subsequently changed, and whether the answers can be trusted. Provenance is established through cryptographic primitives and standardised metadata that travel with the artifact.</w:t>
      </w:r>
    </w:p>
    <w:p w:rsidR="00000000" w:rsidDel="00000000" w:rsidP="00000000" w:rsidRDefault="00000000" w:rsidRPr="00000000" w14:paraId="000000BF">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Preemptive cybersecurity</w:t>
      </w:r>
      <w:r w:rsidDel="00000000" w:rsidR="00000000" w:rsidRPr="00000000">
        <w:rPr>
          <w:rFonts w:ascii="Times New Roman" w:cs="Times New Roman" w:eastAsia="Times New Roman" w:hAnsi="Times New Roman"/>
          <w:sz w:val="24"/>
          <w:szCs w:val="24"/>
          <w:rtl w:val="0"/>
        </w:rPr>
        <w:t xml:space="preserve"> is the practice of detecting, analysing, and blocking threats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they execute. It contrasts with reactive cybersecurity, which responds after an incident has occurred. Preemptive systems rely on threat intelligence, behavioural analysis, deception technology, and machine learning to make decisions in milliseconds, ahead of any harm.</w:t>
      </w:r>
    </w:p>
    <w:p w:rsidR="00000000" w:rsidDel="00000000" w:rsidP="00000000" w:rsidRDefault="00000000" w:rsidRPr="00000000" w14:paraId="000000C0">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Cryptographic hash function.</w:t>
      </w:r>
      <w:r w:rsidDel="00000000" w:rsidR="00000000" w:rsidRPr="00000000">
        <w:rPr>
          <w:rFonts w:ascii="Times New Roman" w:cs="Times New Roman" w:eastAsia="Times New Roman" w:hAnsi="Times New Roman"/>
          <w:sz w:val="24"/>
          <w:szCs w:val="24"/>
          <w:rtl w:val="0"/>
        </w:rPr>
        <w:t xml:space="preserve"> A mathematical function that maps an input of arbitrary size to a fixed-length output called a </w:t>
      </w:r>
      <w:r w:rsidDel="00000000" w:rsidR="00000000" w:rsidRPr="00000000">
        <w:rPr>
          <w:rFonts w:ascii="Times New Roman" w:cs="Times New Roman" w:eastAsia="Times New Roman" w:hAnsi="Times New Roman"/>
          <w:i w:val="1"/>
          <w:iCs w:val="1"/>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digest</w:t>
      </w:r>
      <w:r w:rsidDel="00000000" w:rsidR="00000000" w:rsidRPr="00000000">
        <w:rPr>
          <w:rFonts w:ascii="Times New Roman" w:cs="Times New Roman" w:eastAsia="Times New Roman" w:hAnsi="Times New Roman"/>
          <w:sz w:val="24"/>
          <w:szCs w:val="24"/>
          <w:rtl w:val="0"/>
        </w:rPr>
        <w:t xml:space="preserve">. ProvGuard uses </w:t>
      </w:r>
      <w:r w:rsidDel="00000000" w:rsidR="00000000" w:rsidRPr="00000000">
        <w:rPr>
          <w:rFonts w:ascii="Times New Roman" w:cs="Times New Roman" w:eastAsia="Times New Roman" w:hAnsi="Times New Roman"/>
          <w:b w:val="1"/>
          <w:bCs w:val="1"/>
          <w:sz w:val="24"/>
          <w:szCs w:val="24"/>
          <w:rtl w:val="0"/>
        </w:rPr>
        <w:t xml:space="preserve">SHA-256</w:t>
      </w:r>
      <w:r w:rsidDel="00000000" w:rsidR="00000000" w:rsidRPr="00000000">
        <w:rPr>
          <w:rFonts w:ascii="Times New Roman" w:cs="Times New Roman" w:eastAsia="Times New Roman" w:hAnsi="Times New Roman"/>
          <w:sz w:val="24"/>
          <w:szCs w:val="24"/>
          <w:rtl w:val="0"/>
        </w:rPr>
        <w:t xml:space="preserve"> (Secure Hash Algorithm, 256-bit output), which produces a 64-character hexadecimal fingerprint. Identical inputs always produce identical hashes; a one-byte difference produces a completely different hash; and the function is one-way, so the original input cannot be recovered from the hash. SHA-256 is the foundation of file fingerprinting and tamper detection.</w:t>
      </w:r>
    </w:p>
    <w:p w:rsidR="00000000" w:rsidDel="00000000" w:rsidP="00000000" w:rsidRDefault="00000000" w:rsidRPr="00000000" w14:paraId="000000C1">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signature.</w:t>
      </w:r>
      <w:r w:rsidDel="00000000" w:rsidR="00000000" w:rsidRPr="00000000">
        <w:rPr>
          <w:rFonts w:ascii="Times New Roman" w:cs="Times New Roman" w:eastAsia="Times New Roman" w:hAnsi="Times New Roman"/>
          <w:sz w:val="24"/>
          <w:szCs w:val="24"/>
          <w:rtl w:val="0"/>
        </w:rPr>
        <w:t xml:space="preserve"> A cryptographic mechanism that binds a hash to the identity of a signer using public-key cryptography. ProvGuard uses </w:t>
      </w:r>
      <w:r w:rsidDel="00000000" w:rsidR="00000000" w:rsidRPr="00000000">
        <w:rPr>
          <w:rFonts w:ascii="Times New Roman" w:cs="Times New Roman" w:eastAsia="Times New Roman" w:hAnsi="Times New Roman"/>
          <w:b w:val="1"/>
          <w:bCs w:val="1"/>
          <w:sz w:val="24"/>
          <w:szCs w:val="24"/>
          <w:rtl w:val="0"/>
        </w:rPr>
        <w:t xml:space="preserve">RSA-2048</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PSS</w:t>
      </w:r>
      <w:r w:rsidDel="00000000" w:rsidR="00000000" w:rsidRPr="00000000">
        <w:rPr>
          <w:rFonts w:ascii="Times New Roman" w:cs="Times New Roman" w:eastAsia="Times New Roman" w:hAnsi="Times New Roman"/>
          <w:sz w:val="24"/>
          <w:szCs w:val="24"/>
          <w:rtl w:val="0"/>
        </w:rPr>
        <w:t xml:space="preserve"> (Probabilistic Signature Scheme) padding. The system holds a </w:t>
      </w:r>
      <w:r w:rsidDel="00000000" w:rsidR="00000000" w:rsidRPr="00000000">
        <w:rPr>
          <w:rFonts w:ascii="Times New Roman" w:cs="Times New Roman" w:eastAsia="Times New Roman" w:hAnsi="Times New Roman"/>
          <w:i w:val="1"/>
          <w:iCs w:val="1"/>
          <w:sz w:val="24"/>
          <w:szCs w:val="24"/>
          <w:rtl w:val="0"/>
        </w:rPr>
        <w:t xml:space="preserve">private key</w:t>
      </w:r>
      <w:r w:rsidDel="00000000" w:rsidR="00000000" w:rsidRPr="00000000">
        <w:rPr>
          <w:rFonts w:ascii="Times New Roman" w:cs="Times New Roman" w:eastAsia="Times New Roman" w:hAnsi="Times New Roman"/>
          <w:sz w:val="24"/>
          <w:szCs w:val="24"/>
          <w:rtl w:val="0"/>
        </w:rPr>
        <w:t xml:space="preserve"> used to sign data, and publishes a </w:t>
      </w:r>
      <w:r w:rsidDel="00000000" w:rsidR="00000000" w:rsidRPr="00000000">
        <w:rPr>
          <w:rFonts w:ascii="Times New Roman" w:cs="Times New Roman" w:eastAsia="Times New Roman" w:hAnsi="Times New Roman"/>
          <w:i w:val="1"/>
          <w:iCs w:val="1"/>
          <w:sz w:val="24"/>
          <w:szCs w:val="24"/>
          <w:rtl w:val="0"/>
        </w:rPr>
        <w:t xml:space="preserve">public key</w:t>
      </w:r>
      <w:r w:rsidDel="00000000" w:rsidR="00000000" w:rsidRPr="00000000">
        <w:rPr>
          <w:rFonts w:ascii="Times New Roman" w:cs="Times New Roman" w:eastAsia="Times New Roman" w:hAnsi="Times New Roman"/>
          <w:sz w:val="24"/>
          <w:szCs w:val="24"/>
          <w:rtl w:val="0"/>
        </w:rPr>
        <w:t xml:space="preserve"> anyone can use to verify the signature. The same primitive secures HTTPS websites, signed software updates, and the C2PA standard.</w:t>
      </w:r>
    </w:p>
    <w:p w:rsidR="00000000" w:rsidDel="00000000" w:rsidP="00000000" w:rsidRDefault="00000000" w:rsidRPr="00000000" w14:paraId="000000C2">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Hash-chained ledger.</w:t>
      </w:r>
      <w:r w:rsidDel="00000000" w:rsidR="00000000" w:rsidRPr="00000000">
        <w:rPr>
          <w:rFonts w:ascii="Times New Roman" w:cs="Times New Roman" w:eastAsia="Times New Roman" w:hAnsi="Times New Roman"/>
          <w:sz w:val="24"/>
          <w:szCs w:val="24"/>
          <w:rtl w:val="0"/>
        </w:rPr>
        <w:t xml:space="preserve"> A sequence of records where each record contains the hash of the previous record. Any modification to a historical record breaks the chain because the recomputed hash no longer matches what is stored downstream. This is the data-structure principle behind blockchain, applied here at single-organisation scale.</w:t>
      </w:r>
    </w:p>
    <w:p w:rsidR="00000000" w:rsidDel="00000000" w:rsidP="00000000" w:rsidRDefault="00000000" w:rsidRPr="00000000" w14:paraId="000000C3">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C2PA (Coalition for Content Provenance and Authenticity).</w:t>
      </w:r>
      <w:r w:rsidDel="00000000" w:rsidR="00000000" w:rsidRPr="00000000">
        <w:rPr>
          <w:rFonts w:ascii="Times New Roman" w:cs="Times New Roman" w:eastAsia="Times New Roman" w:hAnsi="Times New Roman"/>
          <w:sz w:val="24"/>
          <w:szCs w:val="24"/>
          <w:rtl w:val="0"/>
        </w:rPr>
        <w:t xml:space="preserve"> An open technical standard for embedding tamper-evident provenance metadata into images, video, and audio. C2PA manifests cryptographically record originating device, edits applied, and publisher identity.</w:t>
      </w:r>
    </w:p>
    <w:p w:rsidR="00000000" w:rsidDel="00000000" w:rsidP="00000000" w:rsidRDefault="00000000" w:rsidRPr="00000000" w14:paraId="000000C4">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SBOM (Software Bill of Materials).</w:t>
      </w:r>
      <w:r w:rsidDel="00000000" w:rsidR="00000000" w:rsidRPr="00000000">
        <w:rPr>
          <w:rFonts w:ascii="Times New Roman" w:cs="Times New Roman" w:eastAsia="Times New Roman" w:hAnsi="Times New Roman"/>
          <w:sz w:val="24"/>
          <w:szCs w:val="24"/>
          <w:rtl w:val="0"/>
        </w:rPr>
        <w:t xml:space="preserve"> A structured inventory of every component, library, and dependency inside a piece of software. CycloneDX and SPDX are the two main formats.</w:t>
      </w:r>
    </w:p>
    <w:p w:rsidR="00000000" w:rsidDel="00000000" w:rsidP="00000000" w:rsidRDefault="00000000" w:rsidRPr="00000000" w14:paraId="000000C5">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intelligence.</w:t>
      </w:r>
      <w:r w:rsidDel="00000000" w:rsidR="00000000" w:rsidRPr="00000000">
        <w:rPr>
          <w:rFonts w:ascii="Times New Roman" w:cs="Times New Roman" w:eastAsia="Times New Roman" w:hAnsi="Times New Roman"/>
          <w:sz w:val="24"/>
          <w:szCs w:val="24"/>
          <w:rtl w:val="0"/>
        </w:rPr>
        <w:t xml:space="preserve"> Structured information about known attackers, malware signatures, and attack patterns, aggregated by services such as VirusTotal, which queries more than seventy commercial antivirus engines simultaneously.</w:t>
      </w:r>
    </w:p>
    <w:p w:rsidR="00000000" w:rsidDel="00000000" w:rsidP="00000000" w:rsidRDefault="00000000" w:rsidRPr="00000000" w14:paraId="000000C6">
      <w:pPr>
        <w:spacing w:after="240" w:before="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Zero-trust architecture.</w:t>
      </w:r>
      <w:r w:rsidDel="00000000" w:rsidR="00000000" w:rsidRPr="00000000">
        <w:rPr>
          <w:rFonts w:ascii="Times New Roman" w:cs="Times New Roman" w:eastAsia="Times New Roman" w:hAnsi="Times New Roman"/>
          <w:sz w:val="24"/>
          <w:szCs w:val="24"/>
          <w:rtl w:val="0"/>
        </w:rPr>
        <w:t xml:space="preserve"> A security model that assumes no user, device, or service is trusted by default. Every action requires fresh verification — a model that pairs naturally with provenance, because verification needs evidence and provenance is the evidence.</w:t>
      </w:r>
    </w:p>
    <w:p w:rsidR="00000000" w:rsidDel="00000000" w:rsidP="00000000" w:rsidRDefault="00000000" w:rsidRPr="00000000" w14:paraId="000000C7">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Prototype Overview</w:t>
      </w:r>
    </w:p>
    <w:p w:rsidR="00000000" w:rsidDel="00000000" w:rsidP="00000000" w:rsidRDefault="00000000" w:rsidRPr="00000000" w14:paraId="000000C9">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ProvGuard is a working software prototype developed for this project to demonstrate the fusion of digital provenance and preemptive cybersecurity in a single verification gateway. The prototype is implemented in Python with the FastAPI framework, uses SQLite for storage, employs RSA-2048 with PSS padding for signing, and is deployed on the Render platform at </w:t>
      </w:r>
      <w:hyperlink r:id="rId15">
        <w:r w:rsidDel="00000000" w:rsidR="00000000" w:rsidRPr="00000000">
          <w:rPr>
            <w:rFonts w:ascii="Times New Roman" w:cs="Times New Roman" w:eastAsia="Times New Roman" w:hAnsi="Times New Roman"/>
            <w:color w:val="1155cc"/>
            <w:sz w:val="24"/>
            <w:szCs w:val="24"/>
            <w:u w:val="single"/>
            <w:rtl w:val="0"/>
          </w:rPr>
          <w:t xml:space="preserve">provguard.onrender.com</w:t>
        </w:r>
      </w:hyperlink>
      <w:r w:rsidDel="00000000" w:rsidR="00000000" w:rsidRPr="00000000">
        <w:rPr>
          <w:rFonts w:ascii="Times New Roman" w:cs="Times New Roman" w:eastAsia="Times New Roman" w:hAnsi="Times New Roman"/>
          <w:sz w:val="24"/>
          <w:szCs w:val="24"/>
          <w:rtl w:val="0"/>
        </w:rPr>
        <w:t xml:space="preserve"> . The complete source code is available </w:t>
      </w:r>
      <w:hyperlink r:id="rId16">
        <w:r w:rsidDel="00000000" w:rsidR="00000000" w:rsidRPr="00000000">
          <w:rPr>
            <w:rFonts w:ascii="Times New Roman" w:cs="Times New Roman" w:eastAsia="Times New Roman" w:hAnsi="Times New Roman"/>
            <w:color w:val="1155cc"/>
            <w:sz w:val="24"/>
            <w:szCs w:val="24"/>
            <w:u w:val="single"/>
            <w:rtl w:val="0"/>
          </w:rPr>
          <w:t xml:space="preserve">here </w:t>
        </w:r>
      </w:hyperlink>
      <w:r w:rsidDel="00000000" w:rsidR="00000000" w:rsidRPr="00000000">
        <w:rPr>
          <w:rFonts w:ascii="Times New Roman" w:cs="Times New Roman" w:eastAsia="Times New Roman" w:hAnsi="Times New Roman"/>
          <w:sz w:val="24"/>
          <w:szCs w:val="24"/>
          <w:rtl w:val="0"/>
        </w:rPr>
        <w:t xml:space="preserve">under an academic licence.</w:t>
      </w:r>
    </w:p>
    <w:p w:rsidR="00000000" w:rsidDel="00000000" w:rsidP="00000000" w:rsidRDefault="00000000" w:rsidRPr="00000000" w14:paraId="000000CA">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accepts a file upload, computes its cryptographic fingerprint, extracts any embedded provenance signals, queries the VirusTotal threat intelligence service, runs behavioural heuristics, combines the results into a weighted risk score, issues a final verdict of Trusted, Suspicious, or Malicious, and records every step on a hash-chained ledger that can be re-verified at any time. The user receives a downloadable PDF certificate of verification.</w:t>
      </w:r>
    </w:p>
    <w:p w:rsidR="00000000" w:rsidDel="00000000" w:rsidP="00000000" w:rsidRDefault="00000000" w:rsidRPr="00000000" w14:paraId="000000C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Architecture</w:t>
      </w:r>
    </w:p>
    <w:p w:rsidR="00000000" w:rsidDel="00000000" w:rsidP="00000000" w:rsidRDefault="00000000" w:rsidRPr="00000000" w14:paraId="000000CC">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organised in five layers, each of which addresses a distinct concern.</w:t>
      </w:r>
    </w:p>
    <w:p w:rsidR="00000000" w:rsidDel="00000000" w:rsidP="00000000" w:rsidRDefault="00000000" w:rsidRPr="00000000" w14:paraId="000000CD">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Frontend layer</w:t>
      </w:r>
    </w:p>
    <w:p w:rsidR="00000000" w:rsidDel="00000000" w:rsidP="00000000" w:rsidRDefault="00000000" w:rsidRPr="00000000" w14:paraId="000000CE">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server-rendered HTML frontend with Tailwind CSS, providing three views: an upload page, a verification result page showing scores and the provenance chain, and an audit dashboard showing all blocks in the ledger with an interactive Verify chain control.</w:t>
      </w:r>
    </w:p>
    <w:p w:rsidR="00000000" w:rsidDel="00000000" w:rsidP="00000000" w:rsidRDefault="00000000" w:rsidRPr="00000000" w14:paraId="000000CF">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API gateway</w:t>
      </w:r>
    </w:p>
    <w:p w:rsidR="00000000" w:rsidDel="00000000" w:rsidP="00000000" w:rsidRDefault="00000000" w:rsidRPr="00000000" w14:paraId="000000D0">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FastAPI application exposing a small number of endpoints, including POST /api/upload for new submissions, GET /api/file/{id} for results, GET /api/chain for the full ledger, and GET /api/chain/verify for integrity validation.</w:t>
      </w:r>
    </w:p>
    <w:p w:rsidR="00000000" w:rsidDel="00000000" w:rsidP="00000000" w:rsidRDefault="00000000" w:rsidRPr="00000000" w14:paraId="000000D1">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Provenance engine</w:t>
      </w:r>
    </w:p>
    <w:p w:rsidR="00000000" w:rsidDel="00000000" w:rsidP="00000000" w:rsidRDefault="00000000" w:rsidRPr="00000000" w14:paraId="000000D2">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contains the cryptographic primitives. The hashing module computes SHA-256 of every uploaded file. The signing module manages RSA-2048 key generation, signing, and verification using PSS padding with SHA-256. The chain module appends new verification blocks to the ledger, computing each block's hash from its content plus the previous block's hash, and signs the result. The metadata module extracts provenance signals from common file types, including C2PA markers, EXIF metadata, and PDF digital signatures.</w:t>
      </w:r>
    </w:p>
    <w:p w:rsidR="00000000" w:rsidDel="00000000" w:rsidP="00000000" w:rsidRDefault="00000000" w:rsidRPr="00000000" w14:paraId="000000D3">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Threat engine</w:t>
      </w:r>
    </w:p>
    <w:p w:rsidR="00000000" w:rsidDel="00000000" w:rsidP="00000000" w:rsidRDefault="00000000" w:rsidRPr="00000000" w14:paraId="000000D4">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contains the preemptive security logic. The VirusTotal client queries the public API by SHA-256 hash, receiving the consensus of more than seventy commercial antivirus engines. The behavioural module computes Shannon entropy, detects extension-versus-magic-byte mismatches, and scans for suspicious patterns including PDF JavaScript, Office macros, embedded executable headers, and the EICAR test signature. The scoring module combines the three sub-scores using a weighted model and applies hard overrides for definitive cases.</w:t>
      </w:r>
    </w:p>
    <w:p w:rsidR="00000000" w:rsidDel="00000000" w:rsidP="00000000" w:rsidRDefault="00000000" w:rsidRPr="00000000" w14:paraId="000000D5">
      <w:pPr>
        <w:pStyle w:val="Heading3"/>
        <w:rPr>
          <w:rFonts w:ascii="Times New Roman" w:cs="Times New Roman" w:eastAsia="Times New Roman" w:hAnsi="Times New Roman"/>
          <w:color w:val="000000"/>
          <w:sz w:val="24"/>
          <w:szCs w:val="24"/>
        </w:rPr>
      </w:pPr>
      <w:bookmarkStart w:colFirst="0" w:colLast="0" w:name="_9khh6hgrev9o" w:id="20"/>
      <w:bookmarkEnd w:id="20"/>
      <w:r w:rsidDel="00000000" w:rsidR="00000000" w:rsidRPr="00000000">
        <w:rPr>
          <w:rFonts w:ascii="Times New Roman" w:cs="Times New Roman" w:eastAsia="Times New Roman" w:hAnsi="Times New Roman"/>
          <w:color w:val="000000"/>
          <w:sz w:val="24"/>
          <w:szCs w:val="24"/>
          <w:rtl w:val="0"/>
        </w:rPr>
        <w:t xml:space="preserve">Storage layer</w:t>
      </w:r>
    </w:p>
    <w:p w:rsidR="00000000" w:rsidDel="00000000" w:rsidP="00000000" w:rsidRDefault="00000000" w:rsidRPr="00000000" w14:paraId="000000D6">
      <w:pPr>
        <w:spacing w:after="12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holds three tables: a file inventory recording metadata for each upload, a provenance chain table holding the hash-chained ledger of verification events, and an audit log capturing every action taken by the system.</w:t>
      </w:r>
    </w:p>
    <w:p w:rsidR="00000000" w:rsidDel="00000000" w:rsidP="00000000" w:rsidRDefault="00000000" w:rsidRPr="00000000" w14:paraId="000000D7">
      <w:pPr>
        <w:spacing w:after="120" w:before="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2"/>
        <w:rPr>
          <w:rFonts w:ascii="Times New Roman" w:cs="Times New Roman" w:eastAsia="Times New Roman" w:hAnsi="Times New Roman"/>
          <w:sz w:val="24"/>
          <w:szCs w:val="24"/>
        </w:rPr>
      </w:pPr>
      <w:bookmarkStart w:colFirst="0" w:colLast="0" w:name="_77y7zeakxjng" w:id="21"/>
      <w:bookmarkEnd w:id="21"/>
      <w:r w:rsidDel="00000000" w:rsidR="00000000" w:rsidRPr="00000000">
        <w:rPr>
          <w:rFonts w:ascii="Times New Roman" w:cs="Times New Roman" w:eastAsia="Times New Roman" w:hAnsi="Times New Roman"/>
          <w:sz w:val="24"/>
          <w:szCs w:val="24"/>
          <w:rtl w:val="0"/>
        </w:rPr>
        <w:t xml:space="preserve">4.Relevance</w:t>
      </w:r>
    </w:p>
    <w:p w:rsidR="00000000" w:rsidDel="00000000" w:rsidP="00000000" w:rsidRDefault="00000000" w:rsidRPr="00000000" w14:paraId="000000D9">
      <w:pPr>
        <w:pStyle w:val="Heading3"/>
        <w:rPr>
          <w:rFonts w:ascii="Times New Roman" w:cs="Times New Roman" w:eastAsia="Times New Roman" w:hAnsi="Times New Roman"/>
          <w:sz w:val="24"/>
          <w:szCs w:val="24"/>
        </w:rPr>
      </w:pPr>
      <w:bookmarkStart w:colFirst="0" w:colLast="0" w:name="_1nuhfj32xju9" w:id="22"/>
      <w:bookmarkEnd w:id="22"/>
      <w:r w:rsidDel="00000000" w:rsidR="00000000" w:rsidRPr="00000000">
        <w:rPr>
          <w:rFonts w:ascii="Times New Roman" w:cs="Times New Roman" w:eastAsia="Times New Roman" w:hAnsi="Times New Roman"/>
          <w:sz w:val="24"/>
          <w:szCs w:val="24"/>
          <w:rtl w:val="0"/>
        </w:rPr>
        <w:t xml:space="preserve">4.1 Global Relevance</w:t>
      </w:r>
    </w:p>
    <w:p w:rsidR="00000000" w:rsidDel="00000000" w:rsidP="00000000" w:rsidRDefault="00000000" w:rsidRPr="00000000" w14:paraId="000000DA">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The conditions driving adoption of digital provenance and preemptive cybersecurity are global. The 2024 Verizon Data Breach Investigations Report estimates that roughly two thirds of significant breaches now involve a supply chain element. Generative AI, including large language models and diffusion-based image generators, has lowered the barrier to producing convincing misinformation. Regulators are responding. The European Union AI Act, in force from 2024, mandates provenance markers for AI-generated content. The United States Executive Order 14028 on improving the nation's cybersecurity, signed in 2021, requires SBOMs for federal software. Similar regulatory </w:t>
      </w:r>
      <w:r w:rsidDel="00000000" w:rsidR="00000000" w:rsidRPr="00000000">
        <w:rPr>
          <w:rFonts w:ascii="Times New Roman" w:cs="Times New Roman" w:eastAsia="Times New Roman" w:hAnsi="Times New Roman"/>
          <w:sz w:val="24"/>
          <w:szCs w:val="24"/>
          <w:rtl w:val="0"/>
        </w:rPr>
        <w:t xml:space="preserve">motions are</w:t>
      </w:r>
      <w:r w:rsidDel="00000000" w:rsidR="00000000" w:rsidRPr="00000000">
        <w:rPr>
          <w:rFonts w:ascii="Times New Roman" w:cs="Times New Roman" w:eastAsia="Times New Roman" w:hAnsi="Times New Roman"/>
          <w:i w:val="0"/>
          <w:iCs w:val="0"/>
          <w:sz w:val="24"/>
          <w:szCs w:val="24"/>
          <w:rtl w:val="0"/>
        </w:rPr>
        <w:t xml:space="preserve"> underway across the United Kingdom, Australia, and the African Union[7].</w:t>
      </w:r>
      <w:r w:rsidDel="00000000" w:rsidR="00000000" w:rsidRPr="00000000">
        <w:rPr>
          <w:rtl w:val="0"/>
        </w:rPr>
      </w:r>
    </w:p>
    <w:p w:rsidR="00000000" w:rsidDel="00000000" w:rsidP="00000000" w:rsidRDefault="00000000" w:rsidRPr="00000000" w14:paraId="000000D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Local Relevance to Uganda</w:t>
      </w:r>
    </w:p>
    <w:p w:rsidR="00000000" w:rsidDel="00000000" w:rsidP="00000000" w:rsidRDefault="00000000" w:rsidRPr="00000000" w14:paraId="000000DC">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Uganda's exposure to the underlying problems is acute, and the local infrastructure for response is still developing. Three areas warrant specific attention.</w:t>
      </w:r>
      <w:r w:rsidDel="00000000" w:rsidR="00000000" w:rsidRPr="00000000">
        <w:rPr>
          <w:rtl w:val="0"/>
        </w:rPr>
      </w:r>
    </w:p>
    <w:p w:rsidR="00000000" w:rsidDel="00000000" w:rsidP="00000000" w:rsidRDefault="00000000" w:rsidRPr="00000000" w14:paraId="000000DD">
      <w:pPr>
        <w:pStyle w:val="Heading3"/>
        <w:spacing w:after="10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Election cycles and information integrity</w:t>
      </w:r>
    </w:p>
    <w:p w:rsidR="00000000" w:rsidDel="00000000" w:rsidP="00000000" w:rsidRDefault="00000000" w:rsidRPr="00000000" w14:paraId="000000DE">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Successive Ugandan election cycles have been accompanied by waves of misinformation, including fabricated audio and video targeting public figures. Without a provenance infrastructure, fact-checking is necessarily reactive and labour-intensive. Adoption of C2PA by major media houses, in cooperation with platforms and the Uganda Communications Commission, would shift the burden of proof from disprover to publisher.</w:t>
      </w:r>
      <w:r w:rsidDel="00000000" w:rsidR="00000000" w:rsidRPr="00000000">
        <w:rPr>
          <w:rtl w:val="0"/>
        </w:rPr>
      </w:r>
    </w:p>
    <w:p w:rsidR="00000000" w:rsidDel="00000000" w:rsidP="00000000" w:rsidRDefault="00000000" w:rsidRPr="00000000" w14:paraId="000000DF">
      <w:pPr>
        <w:pStyle w:val="Heading3"/>
        <w:spacing w:after="10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Mobile money fraud</w:t>
      </w:r>
    </w:p>
    <w:p w:rsidR="00000000" w:rsidDel="00000000" w:rsidP="00000000" w:rsidRDefault="00000000" w:rsidRPr="00000000" w14:paraId="000000E0">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Mobile money penetration in Uganda is among the highest in Africa, with MTN MoMo and Airtel Money handling a substantial share of national payments. Fraud, including SIM-swap attacks, social engineering, and account takeovers, is a continuing problem. Behavioural fraud detection, which is preemptive by design, is already partially deployed but remains uneven across operators and is rarely integrated with cross-operator threat intelligence.</w:t>
      </w:r>
      <w:r w:rsidDel="00000000" w:rsidR="00000000" w:rsidRPr="00000000">
        <w:rPr>
          <w:rtl w:val="0"/>
        </w:rPr>
      </w:r>
    </w:p>
    <w:p w:rsidR="00000000" w:rsidDel="00000000" w:rsidP="00000000" w:rsidRDefault="00000000" w:rsidRPr="00000000" w14:paraId="000000E1">
      <w:pPr>
        <w:pStyle w:val="Heading3"/>
        <w:spacing w:after="10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Government digital services and software supply chain</w:t>
      </w:r>
    </w:p>
    <w:p w:rsidR="00000000" w:rsidDel="00000000" w:rsidP="00000000" w:rsidRDefault="00000000" w:rsidRPr="00000000" w14:paraId="000000E2">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The National Information Technology Authority Uganda (NITA-U) has issued cybersecurity guidelines and continues to develop national systems. However, software procurement does not currently require an SBOM, and there is no national framework for verifying the provenance of software components running in government systems. Healthcare digitisation, including the rollout of UgandaEMR, introduces further provenance and integrity requirements that are not yet systematically addressed.</w:t>
      </w:r>
      <w:r w:rsidDel="00000000" w:rsidR="00000000" w:rsidRPr="00000000">
        <w:rPr>
          <w:rtl w:val="0"/>
        </w:rPr>
      </w:r>
    </w:p>
    <w:p w:rsidR="00000000" w:rsidDel="00000000" w:rsidP="00000000" w:rsidRDefault="00000000" w:rsidRPr="00000000" w14:paraId="000000E3">
      <w:pPr>
        <w:pStyle w:val="Heading1"/>
        <w:spacing w:after="120" w:line="300" w:lineRule="auto"/>
        <w:jc w:val="both"/>
        <w:rPr>
          <w:rFonts w:ascii="Times New Roman" w:cs="Times New Roman" w:eastAsia="Times New Roman" w:hAnsi="Times New Roman"/>
          <w:sz w:val="24"/>
          <w:szCs w:val="24"/>
        </w:rPr>
      </w:pPr>
      <w:bookmarkStart w:colFirst="0" w:colLast="0" w:name="_bi83gd4cs5a0" w:id="23"/>
      <w:bookmarkEnd w:id="23"/>
      <w:r w:rsidDel="00000000" w:rsidR="00000000" w:rsidRPr="00000000">
        <w:rPr>
          <w:rFonts w:ascii="Times New Roman" w:cs="Times New Roman" w:eastAsia="Times New Roman" w:hAnsi="Times New Roman"/>
          <w:sz w:val="24"/>
          <w:szCs w:val="24"/>
          <w:rtl w:val="0"/>
        </w:rPr>
        <w:t xml:space="preserve">6. Recommendations and Future Work</w:t>
      </w:r>
    </w:p>
    <w:p w:rsidR="00000000" w:rsidDel="00000000" w:rsidP="00000000" w:rsidRDefault="00000000" w:rsidRPr="00000000" w14:paraId="000000E4">
      <w:pPr>
        <w:pStyle w:val="Heading3"/>
        <w:rPr>
          <w:rFonts w:ascii="Times New Roman" w:cs="Times New Roman" w:eastAsia="Times New Roman" w:hAnsi="Times New Roman"/>
          <w:sz w:val="24"/>
          <w:szCs w:val="24"/>
        </w:rPr>
      </w:pPr>
      <w:bookmarkStart w:colFirst="0" w:colLast="0" w:name="_yazeck9d5yau" w:id="24"/>
      <w:bookmarkEnd w:id="24"/>
      <w:r w:rsidDel="00000000" w:rsidR="00000000" w:rsidRPr="00000000">
        <w:rPr>
          <w:rFonts w:ascii="Times New Roman" w:cs="Times New Roman" w:eastAsia="Times New Roman" w:hAnsi="Times New Roman"/>
          <w:sz w:val="24"/>
          <w:szCs w:val="24"/>
          <w:rtl w:val="0"/>
        </w:rPr>
        <w:t xml:space="preserve">6.1 Short-term Recommendations</w:t>
      </w:r>
    </w:p>
    <w:p w:rsidR="00000000" w:rsidDel="00000000" w:rsidP="00000000" w:rsidRDefault="00000000" w:rsidRPr="00000000" w14:paraId="000000E5">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Three actions can be taken in the short term, within the current legislative environment.</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8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Encourage Ugandan media houses to pilot C2PA on a single editorial workflow each, with public reporting of results, ahead of the next election cycle.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8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Update NITA-U procurement guidelines to require a signed Software Bill of Materials with every software deliverable above a defined contract value.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Convene a national mobile money and banking fraud intelligence working group to formalise cross-operator information sharing.</w:t>
      </w:r>
    </w:p>
    <w:p w:rsidR="00000000" w:rsidDel="00000000" w:rsidP="00000000" w:rsidRDefault="00000000" w:rsidRPr="00000000" w14:paraId="000000E9">
      <w:pPr>
        <w:pStyle w:val="Heading3"/>
        <w:rPr>
          <w:rFonts w:ascii="Times New Roman" w:cs="Times New Roman" w:eastAsia="Times New Roman" w:hAnsi="Times New Roman"/>
          <w:sz w:val="24"/>
          <w:szCs w:val="24"/>
        </w:rPr>
      </w:pPr>
      <w:bookmarkStart w:colFirst="0" w:colLast="0" w:name="_6xuc84vy0tfq" w:id="25"/>
      <w:bookmarkEnd w:id="25"/>
      <w:r w:rsidDel="00000000" w:rsidR="00000000" w:rsidRPr="00000000">
        <w:rPr>
          <w:rFonts w:ascii="Times New Roman" w:cs="Times New Roman" w:eastAsia="Times New Roman" w:hAnsi="Times New Roman"/>
          <w:sz w:val="24"/>
          <w:szCs w:val="24"/>
          <w:rtl w:val="0"/>
        </w:rPr>
        <w:t xml:space="preserve">6.2 Medium-term Recommendations</w:t>
      </w:r>
    </w:p>
    <w:p w:rsidR="00000000" w:rsidDel="00000000" w:rsidP="00000000" w:rsidRDefault="00000000" w:rsidRPr="00000000" w14:paraId="000000EA">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Three further actions require coordination across institutions and a longer time horizon.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8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Integrate digital provenance and preemptive cybersecurity into university Computer Science and Information Technology curricula, with industry-funded laboratory equipment and shared open-source teaching materials.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8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Establish a national CERT capability with staffing levels and authority comparable to peer institutions in the region.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Develop and publish a Ugandan national framework for AI provenance, aligned with the African Union Data Policy Framework and benchmarked against the EU AI Act.</w:t>
      </w:r>
    </w:p>
    <w:p w:rsidR="00000000" w:rsidDel="00000000" w:rsidP="00000000" w:rsidRDefault="00000000" w:rsidRPr="00000000" w14:paraId="000000EE">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Conclusion</w:t>
      </w:r>
    </w:p>
    <w:p w:rsidR="00000000" w:rsidDel="00000000" w:rsidP="00000000" w:rsidRDefault="00000000" w:rsidRPr="00000000" w14:paraId="000000EF">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This report has examined digital provenance and preemptive cybersecurity as a unified emerging trend in computer science. The core argument is that the two technologies, though developed largely independently, are conceptually and practically complementary, and that their fusion produces a defensible operating model that can be summarised as trust by verification, not detection. Cryptographic provenance establishes who created an artifact and what has happened to it. Preemptive analysis intercepts threats before they execute. Together, they shift the burden of proof from the defender to the artifact, and from incident response to admission control.</w:t>
      </w:r>
      <w:r w:rsidDel="00000000" w:rsidR="00000000" w:rsidRPr="00000000">
        <w:rPr>
          <w:rtl w:val="0"/>
        </w:rPr>
      </w:r>
    </w:p>
    <w:p w:rsidR="00000000" w:rsidDel="00000000" w:rsidP="00000000" w:rsidRDefault="00000000" w:rsidRPr="00000000" w14:paraId="000000F0">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The technology is globally relevant. Generative AI has eroded the foundation of media authenticity, supply-chain attacks have rendered perimeter defences insufficient, and financial systems require fraud detection at machine speed. Uganda is exposed to all three pressures. The country's election cycles, mobile money infrastructure, government software procurement, and healthcare digitisation all stand to benefit from systematic adoption of provenance and preemption.</w:t>
      </w:r>
      <w:r w:rsidDel="00000000" w:rsidR="00000000" w:rsidRPr="00000000">
        <w:rPr>
          <w:rtl w:val="0"/>
        </w:rPr>
      </w:r>
    </w:p>
    <w:p w:rsidR="00000000" w:rsidDel="00000000" w:rsidP="00000000" w:rsidRDefault="00000000" w:rsidRPr="00000000" w14:paraId="000000F1">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The challenges to adoption are real. They span technical complexity, economic cost, security risk in centralised provenance infrastructure, and the human dimensions of awareness, skills, and regulation. They are also tractable. Each challenge has known mitigations, and the proposed national framework integrates these mitigations into four practical pillars.</w:t>
      </w:r>
      <w:r w:rsidDel="00000000" w:rsidR="00000000" w:rsidRPr="00000000">
        <w:rPr>
          <w:rtl w:val="0"/>
        </w:rPr>
      </w:r>
    </w:p>
    <w:p w:rsidR="00000000" w:rsidDel="00000000" w:rsidP="00000000" w:rsidRDefault="00000000" w:rsidRPr="00000000" w14:paraId="000000F2">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ProvGuard, the prototype developed for this project, demonstrates that the model is not theoretical. A small team can build a working verification gateway in days, deploy it publicly, and demonstrate end-to-end the principles described in this report. The prototype produces verifiable verdicts, signs every decision cryptographically, records each verification on a tamper-evident ledger, and detects any subsequent modification to that ledger. The source code is open and the live system is available for inspection.</w:t>
      </w:r>
      <w:r w:rsidDel="00000000" w:rsidR="00000000" w:rsidRPr="00000000">
        <w:rPr>
          <w:rtl w:val="0"/>
        </w:rPr>
      </w:r>
    </w:p>
    <w:p w:rsidR="00000000" w:rsidDel="00000000" w:rsidP="00000000" w:rsidRDefault="00000000" w:rsidRPr="00000000" w14:paraId="000000F3">
      <w:pPr>
        <w:spacing w:after="12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If there is a single message this project hopes to leave with the reader, it is captured in the seven words that have run through every section: trust by verification, not detection. The technology to act on this principle is here today. The work that remains is the work of adoption.</w:t>
      </w:r>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F5">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Coalition for Content Provenance and Authenticity, "C2PA Technical Specification, Version 2.1," 2024. [Online]. Available: https://c2pa.org/specifications/</w:t>
      </w:r>
    </w:p>
    <w:p w:rsidR="00000000" w:rsidDel="00000000" w:rsidP="00000000" w:rsidRDefault="00000000" w:rsidRPr="00000000" w14:paraId="000000F6">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United States President, "Executive Order 14028: Improving the Nation's Cybersecurity," Federal Register, vol. 86, no. 93, May 2021.</w:t>
      </w:r>
    </w:p>
    <w:p w:rsidR="00000000" w:rsidDel="00000000" w:rsidP="00000000" w:rsidRDefault="00000000" w:rsidRPr="00000000" w14:paraId="000000F7">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[3]Coalition for Content Provenance and  Authenticity  </w:t>
      </w:r>
      <w:hyperlink r:id="rId17">
        <w:r w:rsidDel="00000000" w:rsidR="00000000" w:rsidRPr="00000000">
          <w:rPr>
            <w:rFonts w:ascii="Times New Roman" w:cs="Times New Roman" w:eastAsia="Times New Roman" w:hAnsi="Times New Roman"/>
            <w:color w:val="1155cc"/>
            <w:sz w:val="24"/>
            <w:szCs w:val="24"/>
            <w:u w:val="single"/>
            <w:rtl w:val="0"/>
          </w:rPr>
          <w:t xml:space="preserve">https://spec.c2pa.org/specifications/specifications/2.1/specs/_attachments/C2PA_Specification.pdf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after="80" w:line="2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Verizon, "2024 Data Breach Investigations Report," Verizon Business, 2024.</w:t>
      </w:r>
      <w:hyperlink r:id="rId18">
        <w:r w:rsidDel="00000000" w:rsidR="00000000" w:rsidRPr="00000000">
          <w:rPr>
            <w:rFonts w:ascii="Times New Roman" w:cs="Times New Roman" w:eastAsia="Times New Roman" w:hAnsi="Times New Roman"/>
            <w:color w:val="1155cc"/>
            <w:sz w:val="24"/>
            <w:szCs w:val="24"/>
            <w:u w:val="single"/>
            <w:rtl w:val="0"/>
          </w:rPr>
          <w:t xml:space="preserve">https://www.verizon.com/business/resources/reports/2024-dbir-data-breach-investigations-report.pdf</w:t>
        </w:r>
      </w:hyperlink>
      <w:r w:rsidDel="00000000" w:rsidR="00000000" w:rsidRPr="00000000">
        <w:rPr>
          <w:rtl w:val="0"/>
        </w:rPr>
      </w:r>
    </w:p>
    <w:p w:rsidR="00000000" w:rsidDel="00000000" w:rsidP="00000000" w:rsidRDefault="00000000" w:rsidRPr="00000000" w14:paraId="000000F9">
      <w:pPr>
        <w:spacing w:after="80" w:line="2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EU AI Act : https://artificialintelligenceact.eu/article/50/</w:t>
      </w:r>
      <w:r w:rsidDel="00000000" w:rsidR="00000000" w:rsidRPr="00000000">
        <w:rPr>
          <w:rtl w:val="0"/>
        </w:rPr>
      </w:r>
    </w:p>
    <w:p w:rsidR="00000000" w:rsidDel="00000000" w:rsidP="00000000" w:rsidRDefault="00000000" w:rsidRPr="00000000" w14:paraId="000000FA">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Ember 2024 breach dataset :</w:t>
      </w:r>
      <w:hyperlink r:id="rId19">
        <w:r w:rsidDel="00000000" w:rsidR="00000000" w:rsidRPr="00000000">
          <w:rPr>
            <w:rFonts w:ascii="Times New Roman" w:cs="Times New Roman" w:eastAsia="Times New Roman" w:hAnsi="Times New Roman"/>
            <w:color w:val="1155cc"/>
            <w:sz w:val="24"/>
            <w:szCs w:val="24"/>
            <w:u w:val="single"/>
            <w:rtl w:val="0"/>
          </w:rPr>
          <w:t xml:space="preserve">https://arxiv.org/abs/2506.05074</w:t>
        </w:r>
      </w:hyperlink>
      <w:r w:rsidDel="00000000" w:rsidR="00000000" w:rsidRPr="00000000">
        <w:rPr>
          <w:rtl w:val="0"/>
        </w:rPr>
      </w:r>
    </w:p>
    <w:p w:rsidR="00000000" w:rsidDel="00000000" w:rsidP="00000000" w:rsidRDefault="00000000" w:rsidRPr="00000000" w14:paraId="000000FB">
      <w:pPr>
        <w:spacing w:after="80" w:line="2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OWASP Foundation, "CycloneDX Software Bill of Materials Specification, v1.6," 2024. [Online]. Available: </w:t>
      </w:r>
      <w:hyperlink r:id="rId20">
        <w:r w:rsidDel="00000000" w:rsidR="00000000" w:rsidRPr="00000000">
          <w:rPr>
            <w:rFonts w:ascii="Times New Roman" w:cs="Times New Roman" w:eastAsia="Times New Roman" w:hAnsi="Times New Roman"/>
            <w:color w:val="1155cc"/>
            <w:sz w:val="24"/>
            <w:szCs w:val="24"/>
            <w:u w:val="single"/>
            <w:rtl w:val="0"/>
          </w:rPr>
          <w:t xml:space="preserve">https://cyclonedx.org/</w:t>
        </w:r>
      </w:hyperlink>
      <w:r w:rsidDel="00000000" w:rsidR="00000000" w:rsidRPr="00000000">
        <w:rPr>
          <w:rtl w:val="0"/>
        </w:rPr>
      </w:r>
    </w:p>
    <w:p w:rsidR="00000000" w:rsidDel="00000000" w:rsidP="00000000" w:rsidRDefault="00000000" w:rsidRPr="00000000" w14:paraId="000000FC">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Linux Foundation, "Software Package Data Exchange (SPDX) Specification, v2.3," 2023.</w:t>
      </w:r>
    </w:p>
    <w:p w:rsidR="00000000" w:rsidDel="00000000" w:rsidP="00000000" w:rsidRDefault="00000000" w:rsidRPr="00000000" w14:paraId="000000FD">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R. Anderson, Security Engineering: A Guide to Building Dependable Distributed Systems, 3rd ed. Hoboken, NJ: Wiley, 2020.</w:t>
      </w:r>
    </w:p>
    <w:p w:rsidR="00000000" w:rsidDel="00000000" w:rsidP="00000000" w:rsidRDefault="00000000" w:rsidRPr="00000000" w14:paraId="000000FE">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VirusTotal, "VirusTotal API v3 Documentation," 2024. [Online]. Available: https://docs.virustotal.com/</w:t>
      </w:r>
    </w:p>
    <w:p w:rsidR="00000000" w:rsidDel="00000000" w:rsidP="00000000" w:rsidRDefault="00000000" w:rsidRPr="00000000" w14:paraId="000000FF">
      <w:pPr>
        <w:spacing w:after="80" w:line="280" w:lineRule="auto"/>
        <w:ind w:left="360" w:hanging="360"/>
        <w:jc w:val="left"/>
        <w:rPr>
          <w:rFonts w:ascii="Times New Roman" w:cs="Times New Roman" w:eastAsia="Times New Roman" w:hAnsi="Times New Roman"/>
          <w:sz w:val="24"/>
          <w:szCs w:val="24"/>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pPr>
    <w:r w:rsidDel="00000000" w:rsidR="00000000" w:rsidRPr="00000000">
      <w:rPr>
        <w:rFonts w:ascii="Calibri" w:cs="Calibri" w:eastAsia="Calibri" w:hAnsi="Calibri"/>
        <w:color w:val="5a6b7a"/>
        <w:sz w:val="18"/>
        <w:szCs w:val="18"/>
        <w:rtl w:val="0"/>
      </w:rPr>
      <w:t xml:space="preserve">Page </w:t>
    </w:r>
    <w:r w:rsidDel="00000000" w:rsidR="00000000" w:rsidRPr="00000000">
      <w:rPr>
        <w:rFonts w:ascii="Calibri" w:cs="Calibri" w:eastAsia="Calibri" w:hAnsi="Calibri"/>
        <w:color w:val="5a6b7a"/>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a6b7a"/>
        <w:sz w:val="18"/>
        <w:szCs w:val="18"/>
        <w:rtl w:val="0"/>
      </w:rPr>
      <w:t xml:space="preserve"> of </w:t>
    </w:r>
    <w:r w:rsidDel="00000000" w:rsidR="00000000" w:rsidRPr="00000000">
      <w:rPr>
        <w:rFonts w:ascii="Calibri" w:cs="Calibri" w:eastAsia="Calibri" w:hAnsi="Calibri"/>
        <w:color w:val="5a6b7a"/>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color w:val="5a6b7a"/>
        <w:sz w:val="18"/>
        <w:szCs w:val="18"/>
      </w:rPr>
    </w:pPr>
    <w:r w:rsidDel="00000000" w:rsidR="00000000" w:rsidRPr="00000000">
      <w:rPr>
        <w:rtl w:val="0"/>
      </w:rPr>
    </w:r>
  </w:p>
  <w:p w:rsidR="00000000" w:rsidDel="00000000" w:rsidP="00000000" w:rsidRDefault="00000000" w:rsidRPr="00000000" w14:paraId="00000101">
    <w:pPr>
      <w:jc w:val="right"/>
      <w:rPr>
        <w:color w:val="5a6b7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0a254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a25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a25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yclonedx.org/" TargetMode="External"/><Relationship Id="rId11" Type="http://schemas.openxmlformats.org/officeDocument/2006/relationships/hyperlink" Target="https://www.verizon.com/business/resources/reports/2024-dbir-data-breach-investigations-report.pdf" TargetMode="External"/><Relationship Id="rId22" Type="http://schemas.openxmlformats.org/officeDocument/2006/relationships/header" Target="header2.xml"/><Relationship Id="rId10" Type="http://schemas.openxmlformats.org/officeDocument/2006/relationships/hyperlink" Target="https://spec.c2pa.org/specifications/specifications/2.1/specs/_attachments/C2PA_Specification.pdf" TargetMode="External"/><Relationship Id="rId21" Type="http://schemas.openxmlformats.org/officeDocument/2006/relationships/header" Target="header1.xml"/><Relationship Id="rId13" Type="http://schemas.openxmlformats.org/officeDocument/2006/relationships/hyperlink" Target="https://arxiv.org/abs/2506.05074" TargetMode="External"/><Relationship Id="rId24" Type="http://schemas.openxmlformats.org/officeDocument/2006/relationships/footer" Target="footer2.xml"/><Relationship Id="rId12" Type="http://schemas.openxmlformats.org/officeDocument/2006/relationships/hyperlink" Target="https://artificialintelligenceact.eu/article/50/"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ithub.com/Iyundhu/provguard" TargetMode="External"/><Relationship Id="rId15" Type="http://schemas.openxmlformats.org/officeDocument/2006/relationships/hyperlink" Target="http://provguard.onrender.com" TargetMode="External"/><Relationship Id="rId14" Type="http://schemas.openxmlformats.org/officeDocument/2006/relationships/hyperlink" Target="https://provguard.onrender.com" TargetMode="External"/><Relationship Id="rId17" Type="http://schemas.openxmlformats.org/officeDocument/2006/relationships/hyperlink" Target="https://spec.c2pa.org/specifications/specifications/2.1/specs/_attachments/C2PA_Specification.pdf" TargetMode="External"/><Relationship Id="rId16" Type="http://schemas.openxmlformats.org/officeDocument/2006/relationships/hyperlink" Target="http://github.com/Iyundhu/provguard" TargetMode="External"/><Relationship Id="rId5" Type="http://schemas.openxmlformats.org/officeDocument/2006/relationships/styles" Target="styles.xml"/><Relationship Id="rId19" Type="http://schemas.openxmlformats.org/officeDocument/2006/relationships/hyperlink" Target="https://arxiv.org/abs/2506.05074" TargetMode="External"/><Relationship Id="rId6" Type="http://schemas.openxmlformats.org/officeDocument/2006/relationships/image" Target="media/image1.jpg"/><Relationship Id="rId18" Type="http://schemas.openxmlformats.org/officeDocument/2006/relationships/hyperlink" Target="https://www.verizon.com/business/resources/reports/2024-dbir-data-breach-investigations-report.pdf" TargetMode="External"/><Relationship Id="rId7" Type="http://schemas.openxmlformats.org/officeDocument/2006/relationships/image" Target="media/image2.png"/><Relationship Id="rId8" Type="http://schemas.openxmlformats.org/officeDocument/2006/relationships/hyperlink" Target="http://provguard.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