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88" w:rsidRPr="006416E7" w:rsidRDefault="009464E8" w:rsidP="00A26622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EXCELENTÍSSIMO SENHOR DOUTOR JUIZ DE DIREITO DA ____ VARA </w:t>
      </w:r>
      <w:r w:rsidR="00651A13"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DE FAMÍLIA</w:t>
      </w: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 DA COMARCA DE </w:t>
      </w:r>
      <w:r w:rsidRPr="006416E7">
        <w:rPr>
          <w:rFonts w:ascii="Arial" w:eastAsia="Times New Roman" w:hAnsi="Arial" w:cs="Arial"/>
          <w:b/>
          <w:bCs/>
          <w:iCs/>
          <w:spacing w:val="2"/>
          <w:sz w:val="24"/>
          <w:szCs w:val="24"/>
          <w:lang w:eastAsia="pt-BR"/>
        </w:rPr>
        <w:t>(__________)</w:t>
      </w:r>
      <w:r w:rsidRPr="006416E7">
        <w:rPr>
          <w:rFonts w:ascii="Arial" w:eastAsia="Times New Roman" w:hAnsi="Arial" w:cs="Arial"/>
          <w:bCs/>
          <w:iCs/>
          <w:spacing w:val="2"/>
          <w:sz w:val="24"/>
          <w:szCs w:val="24"/>
          <w:lang w:eastAsia="pt-BR"/>
        </w:rPr>
        <w:t xml:space="preserve"> </w:t>
      </w:r>
      <w:r w:rsidR="00A26622" w:rsidRPr="006416E7">
        <w:rPr>
          <w:rFonts w:ascii="Arial" w:eastAsia="Times New Roman" w:hAnsi="Arial" w:cs="Arial"/>
          <w:bCs/>
          <w:iCs/>
          <w:spacing w:val="2"/>
          <w:sz w:val="24"/>
          <w:szCs w:val="24"/>
          <w:lang w:eastAsia="pt-BR"/>
        </w:rPr>
        <w:t>(</w:t>
      </w:r>
      <w:r w:rsidR="00D74088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Conforme art. 319, I, NCPC e organização judiciária da UF)</w:t>
      </w: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NOME COMPLETO DA PARTE AUTORA, nacionalidade, estado civil (ou a existência de união estável), profissão,portadora da cédula de Identidade nº 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_______________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inscrita no CPF/MF sob o nº 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_______________, endereço eletrônico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residente e domiciliada na 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_______________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por seus advogados </w:t>
      </w:r>
      <w:r w:rsidRPr="00C34ADE">
        <w:rPr>
          <w:rFonts w:ascii="Arial" w:eastAsia="Times New Roman" w:hAnsi="Arial" w:cs="Arial"/>
          <w:bCs/>
          <w:i/>
          <w:spacing w:val="2"/>
          <w:sz w:val="24"/>
          <w:szCs w:val="24"/>
          <w:lang w:eastAsia="pt-BR"/>
        </w:rPr>
        <w:t>in fine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assinados conforme procuração anexada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,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com endereço profissional (completo), para fins do 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art. 106, I, do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</w:t>
      </w: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Novo Código de Processo Civil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vem, mui re</w:t>
      </w:r>
      <w:r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speitosamente a </w:t>
      </w:r>
      <w:proofErr w:type="spellStart"/>
      <w:r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V.Exa.,</w:t>
      </w:r>
      <w:proofErr w:type="spellEnd"/>
      <w:r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propor o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presente:</w:t>
      </w:r>
    </w:p>
    <w:p w:rsidR="00C34ADE" w:rsidRPr="00C34ADE" w:rsidRDefault="00C34ADE" w:rsidP="00C34ADE">
      <w:pPr>
        <w:jc w:val="center"/>
        <w:rPr>
          <w:rFonts w:ascii="Arial" w:eastAsia="Times New Roman" w:hAnsi="Arial" w:cs="Arial"/>
          <w:b/>
          <w:bCs/>
          <w:spacing w:val="2"/>
          <w:sz w:val="28"/>
          <w:szCs w:val="28"/>
          <w:lang w:eastAsia="pt-BR"/>
        </w:rPr>
      </w:pPr>
      <w:r w:rsidRPr="00C34ADE">
        <w:rPr>
          <w:rFonts w:ascii="Arial" w:eastAsia="Times New Roman" w:hAnsi="Arial" w:cs="Arial"/>
          <w:b/>
          <w:bCs/>
          <w:spacing w:val="2"/>
          <w:sz w:val="28"/>
          <w:szCs w:val="28"/>
          <w:lang w:eastAsia="pt-BR"/>
        </w:rPr>
        <w:t>PEDIDO DE ADOÇÃO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de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_______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(nacionalidade), maior de idade, estudante, portadora do CPF sob o nº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e RG sob o nº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residente e domiciliada à </w:t>
      </w:r>
      <w:proofErr w:type="spellStart"/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xxxxxxxxxxxxxxxxxxxxxxxxxxxxxxxxxxxxxxxxxx</w:t>
      </w:r>
      <w:proofErr w:type="spellEnd"/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pelos fatos e direitos expostos a seguir: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I – Preliminarmente - Da Competência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Preliminarmente, trata-se de pedido de adoção de maior de idade, regulada pelo </w:t>
      </w:r>
      <w:hyperlink r:id="rId5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e, no que couber, pelas regras gerais do </w:t>
      </w:r>
      <w:hyperlink r:id="rId6" w:tooltip="Lei nº 8.069, de 13 de julho de 1990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Estatuto da Criança e do Adolescente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nos termos do Art. </w:t>
      </w:r>
      <w:hyperlink r:id="rId7" w:tooltip="Artigo 1619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1.619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 código civilista.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Assim não havendo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hipossuficiente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a proteger, elegem os Requerentes este Juízo, por mais conveniente para ambos, visto que é o foro do domicílio da Requerente/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II – Dos Fatos e Fundamentos Jurídicos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Requerente-Adotanda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nasceu em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sendo que sua genitora e seu pai biológico vieram a se separar quando a adotante possuía apenas 02 anos de idade.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lastRenderedPageBreak/>
        <w:t xml:space="preserve">Durante toda a vida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a mesma teve pouco contato com seu pai biológico, podendo-se dizer que raras eram as vezes que este comparecia para visitar a adotante, no máximo uma vez a cada ano.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Assim, pode-se dizer que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cresceu sem figura paterna durante a sua infância.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Contudo, desde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o Requerente-Adotante e a genitora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Requerente-Adotanda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vivem em união estável, de modo que desde esta época,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viveu em companhia da mãe e do seu padrasto, cujo qual representa uma figura paterna para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Há de ser ressaltado que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apesar de maior de idade, capaz e não mais residindo com a Genitora e o Padrasto ora Requerente, mantém o vinculo com o Adotante como se pai fosse, pois este sempre esteve presente nos momentos mais importantes, tais como aniversários, formatura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do ensino médio, entrada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na faculdade, noivado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entre outras tantas datas igualmente importantes.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Em verdade, o carregar do nome de um homem que não representou figura paterna à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inclusive só lhe trouxe decepções por nunca estar presente, causa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constrangimento, pois ao apresentar o seu Padrasto como pai, sempre é </w:t>
      </w: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questionada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pela diferença de sobrenomes.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O que se pleiteia de fato é oficializar situação de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fatica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que se perpetua, acompanhada de relações que ultrapassam a de pai e filha, pois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considera-se e é considerada irmã do filho do Adotante, sobrinha do irmão do Adotante e assim por diante.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Ressalta-se ainda que o Adotante e a Genitora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possuem uma filha em comum, filha esta irmã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. Assim, denota-se que as partes já convivem como uma família, sendo que a única distinção existente é no sobrenome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que ao invés de ter o sobrenome daquele que a tem como filha, carrega sobrenome de quem sequer possui qualquer contato.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O constrangimento como fundamento para o pedido de adoção de maior de dezoito anos pode servir de justificativa íntima. Não é, todavia, requisito legal, visto que são necessários, somente, o requerimento do adotante e o consentimento do adotando, uma vez que, consoante o Art.</w:t>
      </w:r>
      <w:hyperlink r:id="rId8" w:tooltip="Artigo 1630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1.630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9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o poder familiar cessa com a maioridade.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Elenca o artigo </w:t>
      </w:r>
      <w:hyperlink r:id="rId10" w:tooltip="Artigo 1619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1.619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11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 de 2002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: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“Art. 1.619. A adoção de maiores de 18 (dezoito) anos dependerá da assistência efetiva do poder público e de sentença constitutiva, aplicando-se, no que couber, as regras gerais </w:t>
      </w:r>
      <w:proofErr w:type="spellStart"/>
      <w:proofErr w:type="gramStart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daLei</w:t>
      </w:r>
      <w:proofErr w:type="spellEnd"/>
      <w:proofErr w:type="gramEnd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 nº 8.069, de 13 de julho de 1990 - Estatuto da Criança e do Adolescente”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lastRenderedPageBreak/>
        <w:t>Determina ainda os artigos 1630 e 1635 do mesmo diploma legal: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“Art. 1.630. Os filhos estão sujeitos ao poder familiar, enquanto menores.”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“Art. 1.635. Extingue-se o poder familiar: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I - pela morte dos pais ou do filho;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II - pela emancipação, nos termos do art. 5o, parágrafo único;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III - pela maioridade;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IV - pela adoção;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proofErr w:type="gramStart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V - por decisão judicial, na forma do artigo 1.638”</w:t>
      </w:r>
      <w:proofErr w:type="gramEnd"/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Garantindo a boa-fé com que pedem a alteração do nome da Requerente e a lisura processual, colacionam aos autos as certidões: da Execução Criminal, dos </w:t>
      </w: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Distribuidores Cível e Criminal, de Antecedentes Criminais, da Receita Federal, das Justiças Eleitoral e Federal e Certidão Negativa de Protestos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. [pegar esses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doc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.]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Estando as partes de pleno acordo com a referida adoção, e sendo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maior de idade, plenamente possível o deferimento do requerimento da presente demanda, inclusive, sem o consentimento do pai biológico, se não vejamos:</w:t>
      </w:r>
    </w:p>
    <w:p w:rsidR="00C34ADE" w:rsidRPr="00C34ADE" w:rsidRDefault="00C34ADE" w:rsidP="00C34ADE">
      <w:pPr>
        <w:ind w:left="2268"/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/>
          <w:bCs/>
          <w:i/>
          <w:iCs/>
          <w:spacing w:val="2"/>
          <w:sz w:val="24"/>
          <w:szCs w:val="24"/>
          <w:lang w:eastAsia="pt-BR"/>
        </w:rPr>
        <w:t>ADOCAO DE MAIOR. PAI BIOLOGICO. DESNECESSIDADE DE CONSENTIMENTO. AGRAVO DE INSTRUMENTO. REQUERIMENTO DE ADOÇÃO DE MAIOR DE IDADE.</w:t>
      </w: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 Adotando que concorda com a adoção. Desnecessidade de consentimento do pai biológico. </w:t>
      </w:r>
      <w:proofErr w:type="spellStart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Arts</w:t>
      </w:r>
      <w:proofErr w:type="spellEnd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. </w:t>
      </w:r>
      <w:hyperlink r:id="rId12" w:tooltip="Artigo 1630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1630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e </w:t>
      </w:r>
      <w:hyperlink r:id="rId13" w:tooltip="Artigo 1635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1635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, </w:t>
      </w:r>
      <w:hyperlink r:id="rId14" w:tooltip="Inciso III do Artigo 1635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III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do </w:t>
      </w:r>
      <w:hyperlink r:id="rId15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. Os filhos só estão sujeitos ao poder familiar enquanto menores, extinguindo-se tal poder com a maioridade. Manifestação livre das partes no sentido de que se formalize a adoção. Precedentes deste Tribunal. Decisão reformada. PROVIMENTO DO RECURSO. (TJ/RJ “0043550-94.2010.8.19.0000 - AGRAVO DE INSTRUMENTO - 1ª Ementa DES. LEILA MARIANO - Julgamento: 13/09/2010 - SEGUNDA CÂMARA CIVEL.) (GRIFO MEU)</w:t>
      </w:r>
    </w:p>
    <w:p w:rsidR="00C34ADE" w:rsidRPr="00C34ADE" w:rsidRDefault="00C34ADE" w:rsidP="00C34ADE">
      <w:pPr>
        <w:ind w:left="2268"/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Mediante homologação de uma sentença alemã, o STF decidiu:</w:t>
      </w:r>
    </w:p>
    <w:p w:rsidR="00C34ADE" w:rsidRPr="00C34ADE" w:rsidRDefault="00C34ADE" w:rsidP="00C34ADE">
      <w:pPr>
        <w:ind w:left="2268"/>
        <w:jc w:val="both"/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u w:val="single"/>
          <w:lang w:eastAsia="pt-BR"/>
        </w:rPr>
        <w:t xml:space="preserve">“Quanto à adoção de maiores de idade, o Tribunal tem entendido que não é necessária a aprovação dos pais </w:t>
      </w: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u w:val="single"/>
          <w:lang w:eastAsia="pt-BR"/>
        </w:rPr>
        <w:lastRenderedPageBreak/>
        <w:t>biológicos. Ao julgar uma contestação em sentença estrangeira originária de Munique, Alemanha, a Corte Especial citou artigos do </w:t>
      </w:r>
      <w:hyperlink r:id="rId16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lang w:eastAsia="pt-BR"/>
          </w:rPr>
          <w:t>Código Civil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u w:val="single"/>
          <w:lang w:eastAsia="pt-BR"/>
        </w:rPr>
        <w:t> Brasileiro (CCB) e do </w:t>
      </w:r>
      <w:hyperlink r:id="rId17" w:tooltip="Lei nº 8.069, de 13 de julho de 1990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lang w:eastAsia="pt-BR"/>
          </w:rPr>
          <w:t>ECA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u w:val="single"/>
          <w:lang w:eastAsia="pt-BR"/>
        </w:rPr>
        <w:t> que afirmam ser desnecessário o consentimento nos casos em que os pais tenham sido destituídos do poder familiar.</w:t>
      </w: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 No caso, a Vara de Tutela do Juízo Cível de Munique pediu a homologação da sentença que reconheceu a adoção de duas brasileiras por um cidadão alemão. Ambas são filhas biológicas da atual esposa do alemão, que concordou com a adoção. O pai biológico das adotadas foi citado para participar do processo. Como não o fez, foi nomeado um curador para apresentar a resposta. Em seu voto, o relator, ministro </w:t>
      </w:r>
      <w:proofErr w:type="spellStart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Teori</w:t>
      </w:r>
      <w:proofErr w:type="spellEnd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 Albino Zavascki, destacou que os artigos </w:t>
      </w:r>
      <w:hyperlink r:id="rId18" w:tooltip="Artigo 1749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1.749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, </w:t>
      </w:r>
      <w:proofErr w:type="gramStart"/>
      <w:r w:rsidR="00A26DDF" w:rsidRPr="00A26DDF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fldChar w:fldCharType="begin"/>
      </w: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instrText xml:space="preserve"> HYPERLINK "http://www.jusbrasil.com.br/topicos/10609586/artigo-1767-da-lei-n-10406-de-10-de-janeiro-de-2002" \o "Artigo 1767 da Lei nº 10.406 de 10 de Janeiro de 2002" </w:instrText>
      </w:r>
      <w:r w:rsidR="00A26DDF" w:rsidRPr="00A26DDF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fldChar w:fldCharType="separate"/>
      </w:r>
      <w:r w:rsidRPr="00C34ADE">
        <w:rPr>
          <w:rStyle w:val="Hyperlink"/>
          <w:rFonts w:ascii="Arial" w:eastAsia="Times New Roman" w:hAnsi="Arial" w:cs="Arial"/>
          <w:bCs/>
          <w:color w:val="auto"/>
          <w:spacing w:val="2"/>
          <w:sz w:val="24"/>
          <w:szCs w:val="24"/>
          <w:u w:val="none"/>
          <w:lang w:eastAsia="pt-BR"/>
        </w:rPr>
        <w:t>1.767</w:t>
      </w:r>
      <w:r w:rsidR="00A26DDF"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fldChar w:fldCharType="end"/>
      </w:r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e </w:t>
      </w:r>
      <w:hyperlink r:id="rId19" w:tooltip="Artigo 1768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1.768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do </w:t>
      </w:r>
      <w:hyperlink r:id="rId20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 xml:space="preserve">Código </w:t>
        </w:r>
        <w:proofErr w:type="spellStart"/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Civil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alemão</w:t>
      </w:r>
      <w:proofErr w:type="spellEnd"/>
      <w:proofErr w:type="gramEnd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 xml:space="preserve"> dispensariam a autorização e que tal orientação é semelhante à do nosso ordenamento, como indicam os artigos 1.621, 1.630 e 1.635 do CCB e o </w:t>
      </w:r>
      <w:proofErr w:type="gramStart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artigo</w:t>
      </w:r>
      <w:proofErr w:type="gramEnd"/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</w:t>
      </w:r>
      <w:hyperlink r:id="rId21" w:tooltip="Artigo 45 da Lei nº 8.069 de 13 de Julho de 1990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45</w:t>
        </w:r>
      </w:hyperlink>
      <w:r w:rsidRPr="00C34ADE"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 do </w:t>
      </w:r>
      <w:hyperlink r:id="rId22" w:tooltip="Lei nº 8.069, de 13 de julho de 1990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ECA</w:t>
        </w:r>
      </w:hyperlink>
      <w:r>
        <w:rPr>
          <w:rFonts w:ascii="Arial" w:eastAsia="Times New Roman" w:hAnsi="Arial" w:cs="Arial"/>
          <w:bCs/>
          <w:i/>
          <w:iCs/>
          <w:spacing w:val="2"/>
          <w:sz w:val="24"/>
          <w:szCs w:val="24"/>
          <w:lang w:eastAsia="pt-BR"/>
        </w:rPr>
        <w:t>.</w:t>
      </w:r>
    </w:p>
    <w:p w:rsid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Por conclusão, atendem os Requerentes às disposições legais: a adoção não é requerida pelo casal, mas pelo Adotante e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; a diferença de idade entre Adotante e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é de 28 anos, superior à exigida pelo </w:t>
      </w:r>
      <w:hyperlink r:id="rId23" w:tooltip="Parágrafo 3 Artigo 42 da Lei nº 8.069 de 13 de Julho de 1990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§ 3º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 Art. </w:t>
      </w:r>
      <w:hyperlink r:id="rId24" w:tooltip="Artigo 42 da Lei nº 8.069 de 13 de Julho de 1990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42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25" w:tooltip="Lei nº 8.069, de 13 de julho de 1990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Estatuto da Criança e do Adolescente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 -, e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está de pleno acordo com a adoção, pois reconhece o Adotante como pai.</w:t>
      </w:r>
    </w:p>
    <w:p w:rsidR="00556029" w:rsidRDefault="00556029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556029" w:rsidRPr="00C34ADE" w:rsidRDefault="00556029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C34ADE" w:rsidRPr="00C34ADE" w:rsidRDefault="00C34ADE" w:rsidP="00C34ADE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III - Do Pedido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Diante </w:t>
      </w: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do expostos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requerem a Vossa Excelência: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a) seja ouvido o digno repre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softHyphen/>
        <w:t>sentante do Ministério Público;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b) o deferimento da adoção da maior, depois de cumpridas as formalidades legais;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c)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a manutenção do nome da mãe em seu registro civil e a substituição do nome do pai, constando no lugar de “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” (sobrenome do pai biológico) o sobrenome “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” (sobrenome do pai adotante), para os documentos exigidos para sua legalidade (Art. </w:t>
      </w:r>
      <w:hyperlink r:id="rId26" w:tooltip="Artigo 1627 da Lei nº 10.406 de 10 de Janeiro de 2002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1.627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 </w:t>
      </w:r>
      <w:hyperlink r:id="rId27" w:tooltip="LEI No 10.406, DE 10 DE JANEIRO DE 2002." w:history="1">
        <w:r w:rsidRPr="00C34ADE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), de maneira que deverão ser mantidos os vínculos com a mãe e seus respectivos parentes, passando então a chamar "Fulaninha"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(com o nome do pai adotante).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lastRenderedPageBreak/>
        <w:t xml:space="preserve">e) que, oportunamente, seja determinada a expedição de mandado de averbação ao Oficial do Registro Civil de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local do nascimento da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a fim de que seja emitido o registro definitivo da maior e modificados a Cédula de Identidade, o CPF, o Título de Eleitor,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etc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;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f) Requerem as partes que </w:t>
      </w:r>
      <w:proofErr w:type="gram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seja deferida</w:t>
      </w:r>
      <w:proofErr w:type="gram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AJG, por não possuírem, condições de arcar com custas processuais sem prejuízo do sustento próprio;</w:t>
      </w:r>
    </w:p>
    <w:p w:rsidR="006A654F" w:rsidRDefault="00C34ADE" w:rsidP="006A654F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g) ao final a procedência da demanda, para que a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Adotanda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passe a chamar "Fulaninha"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(com o nome do pai adotante) e que em sua certidão de nascimento conste como pai </w:t>
      </w:r>
      <w:r w:rsidR="00556029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(nome do adotante)</w:t>
      </w: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e avós paternos </w:t>
      </w:r>
      <w:proofErr w:type="spellStart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xxxxxxx</w:t>
      </w:r>
      <w:proofErr w:type="spellEnd"/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6A654F" w:rsidRPr="006A654F" w:rsidRDefault="006A654F" w:rsidP="006A654F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h) </w:t>
      </w:r>
      <w:r w:rsidRPr="006A654F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Requer a produção de todas as provas em direito admitidas, na amplitude dos </w:t>
      </w:r>
      <w:r w:rsidRPr="006A654F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artigos 369 e seguintes do NCPC</w:t>
      </w:r>
      <w:r w:rsidRPr="006A654F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em especial as provas: documental, pericial, testemunhal e depoimento pessoal da parte ré. </w:t>
      </w:r>
    </w:p>
    <w:p w:rsidR="006A654F" w:rsidRPr="00C34ADE" w:rsidRDefault="006A654F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Dá-se a causa o valor de alçada.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Nestes termos, pede deferimento.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Local, data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Nome</w:t>
      </w:r>
    </w:p>
    <w:p w:rsidR="00C34ADE" w:rsidRPr="00C34ADE" w:rsidRDefault="00C34ADE" w:rsidP="00C34ADE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C34ADE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OAB-XX:</w:t>
      </w:r>
    </w:p>
    <w:p w:rsidR="00C34ADE" w:rsidRPr="00C34ADE" w:rsidRDefault="00C34ADE" w:rsidP="00C34ADE">
      <w:pPr>
        <w:jc w:val="both"/>
        <w:rPr>
          <w:szCs w:val="24"/>
        </w:rPr>
      </w:pPr>
    </w:p>
    <w:p w:rsidR="002C42A6" w:rsidRPr="006416E7" w:rsidRDefault="006A654F" w:rsidP="00C34ADE">
      <w:pPr>
        <w:jc w:val="both"/>
        <w:rPr>
          <w:rFonts w:ascii="Arial" w:hAnsi="Arial" w:cs="Arial"/>
          <w:sz w:val="24"/>
          <w:szCs w:val="24"/>
        </w:rPr>
      </w:pPr>
    </w:p>
    <w:sectPr w:rsidR="002C42A6" w:rsidRPr="006416E7" w:rsidSect="004E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D3254"/>
    <w:multiLevelType w:val="hybridMultilevel"/>
    <w:tmpl w:val="E59055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C5F1C"/>
    <w:rsid w:val="00024E25"/>
    <w:rsid w:val="0003628E"/>
    <w:rsid w:val="001E4499"/>
    <w:rsid w:val="001F19B0"/>
    <w:rsid w:val="00445E0E"/>
    <w:rsid w:val="004C2402"/>
    <w:rsid w:val="004E6E7A"/>
    <w:rsid w:val="00556029"/>
    <w:rsid w:val="005C5503"/>
    <w:rsid w:val="006416E7"/>
    <w:rsid w:val="00650D70"/>
    <w:rsid w:val="00651A13"/>
    <w:rsid w:val="006A654F"/>
    <w:rsid w:val="007C5F1C"/>
    <w:rsid w:val="007E794D"/>
    <w:rsid w:val="009464E8"/>
    <w:rsid w:val="00A26622"/>
    <w:rsid w:val="00A26DDF"/>
    <w:rsid w:val="00B9386B"/>
    <w:rsid w:val="00BB2878"/>
    <w:rsid w:val="00C34ADE"/>
    <w:rsid w:val="00CD0323"/>
    <w:rsid w:val="00CE2DD0"/>
    <w:rsid w:val="00CE4739"/>
    <w:rsid w:val="00D14D4B"/>
    <w:rsid w:val="00D74088"/>
    <w:rsid w:val="00D94F2E"/>
    <w:rsid w:val="00E46318"/>
    <w:rsid w:val="00F8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5F1C"/>
  </w:style>
  <w:style w:type="character" w:styleId="Hyperlink">
    <w:name w:val="Hyperlink"/>
    <w:basedOn w:val="Fontepargpadro"/>
    <w:uiPriority w:val="99"/>
    <w:unhideWhenUsed/>
    <w:rsid w:val="007C5F1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088"/>
    <w:rPr>
      <w:rFonts w:ascii="Tahoma" w:hAnsi="Tahoma" w:cs="Tahoma"/>
      <w:sz w:val="16"/>
      <w:szCs w:val="16"/>
    </w:rPr>
  </w:style>
  <w:style w:type="paragraph" w:customStyle="1" w:styleId="Corpodotexto">
    <w:name w:val="Corpo do texto"/>
    <w:basedOn w:val="Normal"/>
    <w:semiHidden/>
    <w:rsid w:val="006A654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176">
          <w:blockQuote w:val="1"/>
          <w:marLeft w:val="0"/>
          <w:marRight w:val="0"/>
          <w:marTop w:val="0"/>
          <w:marBottom w:val="365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1628852114">
          <w:blockQuote w:val="1"/>
          <w:marLeft w:val="0"/>
          <w:marRight w:val="0"/>
          <w:marTop w:val="0"/>
          <w:marBottom w:val="365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596523739">
          <w:blockQuote w:val="1"/>
          <w:marLeft w:val="0"/>
          <w:marRight w:val="0"/>
          <w:marTop w:val="0"/>
          <w:marBottom w:val="365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</w:divsChild>
    </w:div>
    <w:div w:id="169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32">
          <w:blockQuote w:val="1"/>
          <w:marLeft w:val="0"/>
          <w:marRight w:val="0"/>
          <w:marTop w:val="0"/>
          <w:marBottom w:val="327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456920597">
          <w:blockQuote w:val="1"/>
          <w:marLeft w:val="0"/>
          <w:marRight w:val="0"/>
          <w:marTop w:val="0"/>
          <w:marBottom w:val="327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504392214">
          <w:blockQuote w:val="1"/>
          <w:marLeft w:val="0"/>
          <w:marRight w:val="0"/>
          <w:marTop w:val="0"/>
          <w:marBottom w:val="327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  <w:div w:id="1114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20923/artigo-1630-da-lei-n-10406-de-10-de-janeiro-de-2002" TargetMode="External"/><Relationship Id="rId13" Type="http://schemas.openxmlformats.org/officeDocument/2006/relationships/hyperlink" Target="http://www.jusbrasil.com.br/topicos/10620437/artigo-1635-da-lei-n-10406-de-10-de-janeiro-de-2002" TargetMode="External"/><Relationship Id="rId18" Type="http://schemas.openxmlformats.org/officeDocument/2006/relationships/hyperlink" Target="http://www.jusbrasil.com.br/topicos/10611053/artigo-1749-da-lei-n-10406-de-10-de-janeiro-de-2002" TargetMode="External"/><Relationship Id="rId26" Type="http://schemas.openxmlformats.org/officeDocument/2006/relationships/hyperlink" Target="http://www.jusbrasil.com.br/topicos/10621069/artigo-1627-da-lei-n-10406-de-10-de-janeiro-de-20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usbrasil.com.br/topicos/10615579/artigo-45-da-lei-n-8069-de-13-de-julho-de-1990" TargetMode="External"/><Relationship Id="rId7" Type="http://schemas.openxmlformats.org/officeDocument/2006/relationships/hyperlink" Target="http://www.jusbrasil.com.br/topicos/10621595/artigo-1619-da-lei-n-10406-de-10-de-janeiro-de-2002" TargetMode="External"/><Relationship Id="rId12" Type="http://schemas.openxmlformats.org/officeDocument/2006/relationships/hyperlink" Target="http://www.jusbrasil.com.br/topicos/10620923/artigo-1630-da-lei-n-10406-de-10-de-janeiro-de-2002" TargetMode="External"/><Relationship Id="rId17" Type="http://schemas.openxmlformats.org/officeDocument/2006/relationships/hyperlink" Target="http://www.jusbrasil.com.br/legislacao/1031134/estatuto-da-crian%C3%A7a-e-do-adolescente-lei-8069-90" TargetMode="External"/><Relationship Id="rId25" Type="http://schemas.openxmlformats.org/officeDocument/2006/relationships/hyperlink" Target="http://www.jusbrasil.com.br/legislacao/1031134/estatuto-da-crian%C3%A7a-e-do-adolescente-lei-8069-9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legislacao/111983995/c%C3%B3digo-civil-lei-10406-02" TargetMode="External"/><Relationship Id="rId20" Type="http://schemas.openxmlformats.org/officeDocument/2006/relationships/hyperlink" Target="http://www.jusbrasil.com.br/legislacao/111983995/c%C3%B3digo-civil-lei-10406-0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31134/estatuto-da-crian%C3%A7a-e-do-adolescente-lei-8069-90" TargetMode="External"/><Relationship Id="rId11" Type="http://schemas.openxmlformats.org/officeDocument/2006/relationships/hyperlink" Target="http://www.jusbrasil.com.br/legislacao/111983995/c%C3%B3digo-civil-lei-10406-02" TargetMode="External"/><Relationship Id="rId24" Type="http://schemas.openxmlformats.org/officeDocument/2006/relationships/hyperlink" Target="http://www.jusbrasil.com.br/topicos/10615981/artigo-42-da-lei-n-8069-de-13-de-julho-de-1990" TargetMode="External"/><Relationship Id="rId5" Type="http://schemas.openxmlformats.org/officeDocument/2006/relationships/hyperlink" Target="http://www.jusbrasil.com.br/legislacao/111983995/c%C3%B3digo-civil-lei-10406-02" TargetMode="External"/><Relationship Id="rId15" Type="http://schemas.openxmlformats.org/officeDocument/2006/relationships/hyperlink" Target="http://www.jusbrasil.com.br/legislacao/111983995/c%C3%B3digo-civil-lei-10406-02" TargetMode="External"/><Relationship Id="rId23" Type="http://schemas.openxmlformats.org/officeDocument/2006/relationships/hyperlink" Target="http://www.jusbrasil.com.br/topicos/10615836/par%C3%A1grafo-3-artigo-42-da-lei-n-8069-de-13-de-julho-de-199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jusbrasil.com.br/topicos/10621595/artigo-1619-da-lei-n-10406-de-10-de-janeiro-de-2002" TargetMode="External"/><Relationship Id="rId19" Type="http://schemas.openxmlformats.org/officeDocument/2006/relationships/hyperlink" Target="http://www.jusbrasil.com.br/topicos/10609355/artigo-1768-da-lei-n-10406-de-10-de-janeiro-de-2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hyperlink" Target="http://www.jusbrasil.com.br/topicos/10620317/inciso-iii-do-artigo-1635-da-lei-n-10406-de-10-de-janeiro-de-2002" TargetMode="External"/><Relationship Id="rId22" Type="http://schemas.openxmlformats.org/officeDocument/2006/relationships/hyperlink" Target="http://www.jusbrasil.com.br/legislacao/1031134/estatuto-da-crian%C3%A7a-e-do-adolescente-lei-8069-90" TargetMode="External"/><Relationship Id="rId27" Type="http://schemas.openxmlformats.org/officeDocument/2006/relationships/hyperlink" Target="http://www.jusbrasil.com.br/legislacao/111983995/c%C3%B3digo-civil-lei-10406-0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1945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Raiane Rodrigues</dc:creator>
  <cp:lastModifiedBy>Raiane Rodrigues</cp:lastModifiedBy>
  <cp:revision>3</cp:revision>
  <dcterms:created xsi:type="dcterms:W3CDTF">2016-05-19T03:42:00Z</dcterms:created>
  <dcterms:modified xsi:type="dcterms:W3CDTF">2016-05-19T04:14:00Z</dcterms:modified>
</cp:coreProperties>
</file>