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16" w:rsidRPr="000C7BB5" w:rsidRDefault="000C7BB5" w:rsidP="000C7BB5">
      <w:pPr>
        <w:rPr>
          <w:rFonts w:ascii="Garamond" w:eastAsia="Garamond" w:hAnsi="Garamond"/>
          <w:b/>
          <w:szCs w:val="24"/>
          <w:lang w:val="en-US"/>
        </w:rPr>
      </w:pPr>
      <w:r w:rsidRPr="000C7BB5">
        <w:rPr>
          <w:rFonts w:ascii="Garamond" w:hAnsi="Garamond"/>
          <w:b/>
          <w:szCs w:val="24"/>
          <w:lang w:val="en-US"/>
        </w:rPr>
        <w:t>“</w:t>
      </w:r>
      <w:r w:rsidR="00E97416" w:rsidRPr="000C7BB5">
        <w:rPr>
          <w:rFonts w:ascii="Garamond" w:eastAsia="Garamond" w:hAnsi="Garamond"/>
          <w:b/>
          <w:szCs w:val="24"/>
          <w:lang w:val="en-US"/>
        </w:rPr>
        <w:t>The decline of the labor income share in Mexico, 1990–2015</w:t>
      </w:r>
      <w:r w:rsidRPr="000C7BB5">
        <w:rPr>
          <w:rFonts w:ascii="Garamond" w:eastAsia="Garamond" w:hAnsi="Garamond"/>
          <w:b/>
          <w:szCs w:val="24"/>
          <w:lang w:val="en-US"/>
        </w:rPr>
        <w:t>”</w:t>
      </w:r>
    </w:p>
    <w:p w:rsidR="00F1007B" w:rsidRDefault="00F1007B" w:rsidP="000C7BB5">
      <w:pPr>
        <w:rPr>
          <w:rFonts w:ascii="Garamond" w:hAnsi="Garamond"/>
          <w:b/>
          <w:lang w:val="en-US"/>
        </w:rPr>
      </w:pPr>
    </w:p>
    <w:p w:rsidR="00E97416" w:rsidRDefault="00F1007B" w:rsidP="000C7BB5">
      <w:pPr>
        <w:rPr>
          <w:rFonts w:ascii="Garamond" w:hAnsi="Garamond"/>
          <w:b/>
          <w:lang w:val="en-US"/>
        </w:rPr>
      </w:pPr>
      <w:r>
        <w:rPr>
          <w:rFonts w:ascii="Garamond" w:hAnsi="Garamond"/>
          <w:b/>
          <w:lang w:val="en-US"/>
        </w:rPr>
        <w:t>Sources-and-methods appendix</w:t>
      </w:r>
    </w:p>
    <w:p w:rsidR="00E97416" w:rsidRPr="00B7131E" w:rsidRDefault="00E97416" w:rsidP="00E97416">
      <w:pPr>
        <w:rPr>
          <w:rFonts w:ascii="Garamond" w:hAnsi="Garamond"/>
          <w:lang w:val="en-US"/>
        </w:rPr>
      </w:pPr>
    </w:p>
    <w:p w:rsidR="000C7BB5" w:rsidRPr="000C7BB5" w:rsidRDefault="000C7BB5" w:rsidP="00E97416">
      <w:pPr>
        <w:rPr>
          <w:rFonts w:ascii="Garamond" w:hAnsi="Garamond"/>
          <w:i/>
          <w:lang w:val="en-US"/>
        </w:rPr>
      </w:pPr>
      <w:r w:rsidRPr="000C7BB5">
        <w:rPr>
          <w:rFonts w:ascii="Garamond" w:hAnsi="Garamond"/>
          <w:i/>
          <w:lang w:val="en-US"/>
        </w:rPr>
        <w:t>Contents</w:t>
      </w:r>
    </w:p>
    <w:p w:rsidR="000C7BB5" w:rsidRPr="000C7BB5" w:rsidRDefault="000C7BB5" w:rsidP="00E97416">
      <w:pPr>
        <w:rPr>
          <w:rFonts w:ascii="Garamond" w:hAnsi="Garamond"/>
          <w:lang w:val="en-US"/>
        </w:rPr>
      </w:pPr>
      <w:r w:rsidRPr="000C7BB5">
        <w:rPr>
          <w:rFonts w:ascii="Garamond" w:hAnsi="Garamond"/>
          <w:lang w:val="en-US"/>
        </w:rPr>
        <w:t>A1. Measurement issues in estimating the labor income share</w:t>
      </w:r>
    </w:p>
    <w:p w:rsidR="000C7BB5" w:rsidRPr="000C7BB5" w:rsidRDefault="000C7BB5" w:rsidP="000C7BB5">
      <w:pPr>
        <w:rPr>
          <w:rFonts w:ascii="Garamond" w:hAnsi="Garamond"/>
          <w:lang w:val="en-US"/>
        </w:rPr>
      </w:pPr>
      <w:r w:rsidRPr="000C7BB5">
        <w:rPr>
          <w:rFonts w:ascii="Garamond" w:hAnsi="Garamond"/>
          <w:lang w:val="en-US"/>
        </w:rPr>
        <w:t>A2. Supplementary tables and figures</w:t>
      </w:r>
    </w:p>
    <w:p w:rsidR="000C7BB5" w:rsidRPr="000C7BB5" w:rsidRDefault="000C7BB5" w:rsidP="00E97416">
      <w:pPr>
        <w:rPr>
          <w:rFonts w:ascii="Garamond" w:hAnsi="Garamond"/>
          <w:lang w:val="en-US"/>
        </w:rPr>
      </w:pPr>
      <w:r w:rsidRPr="000C7BB5">
        <w:rPr>
          <w:rFonts w:ascii="Garamond" w:hAnsi="Garamond"/>
          <w:lang w:val="en-US"/>
        </w:rPr>
        <w:t>A3. Labor productivity in the wage-employment and self-employment subsectors</w:t>
      </w:r>
    </w:p>
    <w:p w:rsidR="009413CB" w:rsidRPr="00B7131E" w:rsidRDefault="009413CB" w:rsidP="00E97416">
      <w:pPr>
        <w:rPr>
          <w:rFonts w:ascii="Garamond" w:hAnsi="Garamond"/>
          <w:lang w:val="en-US"/>
        </w:rPr>
      </w:pPr>
    </w:p>
    <w:p w:rsidR="00E97416" w:rsidRPr="00E97416" w:rsidRDefault="00E97416" w:rsidP="00E97416">
      <w:pPr>
        <w:rPr>
          <w:rFonts w:ascii="Garamond" w:hAnsi="Garamond"/>
          <w:b/>
          <w:lang w:val="en-US"/>
        </w:rPr>
      </w:pPr>
      <w:r w:rsidRPr="00E97416">
        <w:rPr>
          <w:rFonts w:ascii="Garamond" w:hAnsi="Garamond"/>
          <w:b/>
          <w:lang w:val="en-US"/>
        </w:rPr>
        <w:t>A1. Measurement issues in estimating the labor income share</w:t>
      </w:r>
    </w:p>
    <w:p w:rsidR="00E97416" w:rsidRPr="00E97416" w:rsidRDefault="00E97416" w:rsidP="00E97416">
      <w:pPr>
        <w:suppressAutoHyphens/>
        <w:jc w:val="both"/>
        <w:rPr>
          <w:rFonts w:ascii="Garamond" w:eastAsia="Garamond" w:hAnsi="Garamond"/>
          <w:lang w:val="en-US"/>
        </w:rPr>
      </w:pPr>
    </w:p>
    <w:p w:rsidR="00E97416" w:rsidRDefault="00E97416" w:rsidP="00E97416">
      <w:pPr>
        <w:suppressAutoHyphens/>
        <w:jc w:val="both"/>
        <w:rPr>
          <w:rFonts w:ascii="Garamond" w:eastAsia="Garamond" w:hAnsi="Garamond"/>
          <w:lang w:val="en-US"/>
        </w:rPr>
      </w:pPr>
      <w:r w:rsidRPr="00E97416">
        <w:rPr>
          <w:rFonts w:ascii="Garamond" w:eastAsia="Garamond" w:hAnsi="Garamond"/>
          <w:lang w:val="en-US"/>
        </w:rPr>
        <w:t xml:space="preserve">The main issues involved in estimating the labor income share refer to the different concepts of labor income and employment and the different classification systems used by the </w:t>
      </w:r>
      <w:r>
        <w:rPr>
          <w:rFonts w:ascii="Garamond" w:eastAsia="Garamond" w:hAnsi="Garamond"/>
          <w:lang w:val="en-US"/>
        </w:rPr>
        <w:t>National Accounts and the INEGI</w:t>
      </w:r>
      <w:r w:rsidRPr="00E97416">
        <w:rPr>
          <w:rFonts w:ascii="Garamond" w:eastAsia="Garamond" w:hAnsi="Garamond"/>
          <w:lang w:val="en-US"/>
        </w:rPr>
        <w:t>–KLEMS database, on the one hand, and the national employment surveys (ENE and ENOE) on the other. In addition, the classification systems of the two employment surveys are different.</w:t>
      </w:r>
    </w:p>
    <w:p w:rsidR="00E97416" w:rsidRPr="00E97416" w:rsidRDefault="00E97416" w:rsidP="00E97416">
      <w:pPr>
        <w:suppressAutoHyphens/>
        <w:jc w:val="both"/>
        <w:rPr>
          <w:rFonts w:ascii="Garamond" w:eastAsia="Garamond" w:hAnsi="Garamond"/>
          <w:lang w:val="en-US"/>
        </w:rPr>
      </w:pPr>
    </w:p>
    <w:p w:rsidR="00E97416" w:rsidRDefault="00E97416" w:rsidP="00E97416">
      <w:pPr>
        <w:suppressAutoHyphens/>
        <w:ind w:firstLine="708"/>
        <w:jc w:val="both"/>
        <w:rPr>
          <w:rFonts w:ascii="Garamond" w:eastAsia="Garamond" w:hAnsi="Garamond"/>
          <w:lang w:val="en-US"/>
        </w:rPr>
      </w:pPr>
      <w:r w:rsidRPr="00E97416">
        <w:rPr>
          <w:rFonts w:ascii="Garamond" w:eastAsia="Garamond" w:hAnsi="Garamond"/>
          <w:lang w:val="en-US"/>
        </w:rPr>
        <w:t xml:space="preserve">The INEGI–KLEMS database contains for a large number of sectors at the two- and three-digit levels information on each sector’s wage bill (excluding self-employment income but including non-wage remuneration of subordinated workers), total value added, and total employment (including the self-employed and non-remunerated workers). The employment surveys include the </w:t>
      </w:r>
      <w:proofErr w:type="spellStart"/>
      <w:r w:rsidRPr="00E97416">
        <w:rPr>
          <w:rFonts w:ascii="Garamond" w:eastAsia="Garamond" w:hAnsi="Garamond"/>
          <w:lang w:val="en-US"/>
        </w:rPr>
        <w:t>Encuesta</w:t>
      </w:r>
      <w:proofErr w:type="spellEnd"/>
      <w:r w:rsidRPr="00E97416">
        <w:rPr>
          <w:rFonts w:ascii="Garamond" w:eastAsia="Garamond" w:hAnsi="Garamond"/>
          <w:lang w:val="en-US"/>
        </w:rPr>
        <w:t xml:space="preserve"> Nacional de </w:t>
      </w:r>
      <w:proofErr w:type="spellStart"/>
      <w:r w:rsidRPr="00E97416">
        <w:rPr>
          <w:rFonts w:ascii="Garamond" w:eastAsia="Garamond" w:hAnsi="Garamond"/>
          <w:lang w:val="en-US"/>
        </w:rPr>
        <w:t>Empleo</w:t>
      </w:r>
      <w:proofErr w:type="spellEnd"/>
      <w:r w:rsidRPr="00E97416">
        <w:rPr>
          <w:rFonts w:ascii="Garamond" w:eastAsia="Garamond" w:hAnsi="Garamond"/>
          <w:lang w:val="en-US"/>
        </w:rPr>
        <w:t xml:space="preserve"> (ENE, National Employment Survey), which is available for 1995–2004, and the </w:t>
      </w:r>
      <w:proofErr w:type="spellStart"/>
      <w:r w:rsidRPr="00E97416">
        <w:rPr>
          <w:rFonts w:ascii="Garamond" w:eastAsia="Garamond" w:hAnsi="Garamond"/>
          <w:lang w:val="en-US"/>
        </w:rPr>
        <w:t>Encuesta</w:t>
      </w:r>
      <w:proofErr w:type="spellEnd"/>
      <w:r w:rsidRPr="00E97416">
        <w:rPr>
          <w:rFonts w:ascii="Garamond" w:eastAsia="Garamond" w:hAnsi="Garamond"/>
          <w:lang w:val="en-US"/>
        </w:rPr>
        <w:t xml:space="preserve"> Nacional de </w:t>
      </w:r>
      <w:proofErr w:type="spellStart"/>
      <w:r w:rsidRPr="00E97416">
        <w:rPr>
          <w:rFonts w:ascii="Garamond" w:eastAsia="Garamond" w:hAnsi="Garamond"/>
          <w:lang w:val="en-US"/>
        </w:rPr>
        <w:t>Ocupación</w:t>
      </w:r>
      <w:proofErr w:type="spellEnd"/>
      <w:r w:rsidRPr="00E97416">
        <w:rPr>
          <w:rFonts w:ascii="Garamond" w:eastAsia="Garamond" w:hAnsi="Garamond"/>
          <w:lang w:val="en-US"/>
        </w:rPr>
        <w:t xml:space="preserve"> y </w:t>
      </w:r>
      <w:proofErr w:type="spellStart"/>
      <w:r w:rsidRPr="00E97416">
        <w:rPr>
          <w:rFonts w:ascii="Garamond" w:eastAsia="Garamond" w:hAnsi="Garamond"/>
          <w:lang w:val="en-US"/>
        </w:rPr>
        <w:t>Empleo</w:t>
      </w:r>
      <w:proofErr w:type="spellEnd"/>
      <w:r w:rsidRPr="00E97416">
        <w:rPr>
          <w:rFonts w:ascii="Garamond" w:eastAsia="Garamond" w:hAnsi="Garamond"/>
          <w:lang w:val="en-US"/>
        </w:rPr>
        <w:t xml:space="preserve"> (ENOE, National Survey of Occupation and Employment), which substitutes the former from 2005 onwards. Both surveys are quarterly surveys. From 1995 to </w:t>
      </w:r>
      <w:proofErr w:type="gramStart"/>
      <w:r w:rsidRPr="00E97416">
        <w:rPr>
          <w:rFonts w:ascii="Garamond" w:eastAsia="Garamond" w:hAnsi="Garamond"/>
          <w:lang w:val="en-US"/>
        </w:rPr>
        <w:t>1999</w:t>
      </w:r>
      <w:proofErr w:type="gramEnd"/>
      <w:r w:rsidRPr="00E97416">
        <w:rPr>
          <w:rFonts w:ascii="Garamond" w:eastAsia="Garamond" w:hAnsi="Garamond"/>
          <w:lang w:val="en-US"/>
        </w:rPr>
        <w:t xml:space="preserve"> the ENE is only available for the second quarter of the year, for 2000 for the last three quarters, and from 2001 the survey is available quarterly. These surveys provide information on earnings and the composition of employment that includes wage earners, subordinated and remunerated workers with non-wage remuneration, employers, self-employed (</w:t>
      </w:r>
      <w:proofErr w:type="spellStart"/>
      <w:r w:rsidRPr="00E97416">
        <w:rPr>
          <w:rFonts w:ascii="Garamond" w:eastAsia="Garamond" w:hAnsi="Garamond"/>
          <w:i/>
          <w:lang w:val="en-US"/>
        </w:rPr>
        <w:t>trabajadores</w:t>
      </w:r>
      <w:proofErr w:type="spellEnd"/>
      <w:r w:rsidRPr="00E97416">
        <w:rPr>
          <w:rFonts w:ascii="Garamond" w:eastAsia="Garamond" w:hAnsi="Garamond"/>
          <w:i/>
          <w:lang w:val="en-US"/>
        </w:rPr>
        <w:t xml:space="preserve"> </w:t>
      </w:r>
      <w:proofErr w:type="spellStart"/>
      <w:r w:rsidRPr="00E97416">
        <w:rPr>
          <w:rFonts w:ascii="Garamond" w:eastAsia="Garamond" w:hAnsi="Garamond"/>
          <w:i/>
          <w:lang w:val="en-US"/>
        </w:rPr>
        <w:t>por</w:t>
      </w:r>
      <w:proofErr w:type="spellEnd"/>
      <w:r w:rsidRPr="00E97416">
        <w:rPr>
          <w:rFonts w:ascii="Garamond" w:eastAsia="Garamond" w:hAnsi="Garamond"/>
          <w:i/>
          <w:lang w:val="en-US"/>
        </w:rPr>
        <w:t xml:space="preserve"> </w:t>
      </w:r>
      <w:proofErr w:type="spellStart"/>
      <w:r w:rsidRPr="00E97416">
        <w:rPr>
          <w:rFonts w:ascii="Garamond" w:eastAsia="Garamond" w:hAnsi="Garamond"/>
          <w:i/>
          <w:lang w:val="en-US"/>
        </w:rPr>
        <w:t>cuenta</w:t>
      </w:r>
      <w:proofErr w:type="spellEnd"/>
      <w:r w:rsidRPr="00E97416">
        <w:rPr>
          <w:rFonts w:ascii="Garamond" w:eastAsia="Garamond" w:hAnsi="Garamond"/>
          <w:i/>
          <w:lang w:val="en-US"/>
        </w:rPr>
        <w:t xml:space="preserve"> </w:t>
      </w:r>
      <w:proofErr w:type="spellStart"/>
      <w:r w:rsidRPr="00E97416">
        <w:rPr>
          <w:rFonts w:ascii="Garamond" w:eastAsia="Garamond" w:hAnsi="Garamond"/>
          <w:i/>
          <w:lang w:val="en-US"/>
        </w:rPr>
        <w:t>propia</w:t>
      </w:r>
      <w:proofErr w:type="spellEnd"/>
      <w:r w:rsidRPr="00E97416">
        <w:rPr>
          <w:rFonts w:ascii="Garamond" w:eastAsia="Garamond" w:hAnsi="Garamond"/>
          <w:lang w:val="en-US"/>
        </w:rPr>
        <w:t xml:space="preserve"> or freelance), and non-remunerated workers. For example, Table A1 shows ENOE data for the fourth quarter of 2015.</w:t>
      </w:r>
    </w:p>
    <w:p w:rsidR="00E97416" w:rsidRPr="00E97416" w:rsidRDefault="00E97416" w:rsidP="00E97416">
      <w:pPr>
        <w:suppressAutoHyphens/>
        <w:jc w:val="both"/>
        <w:rPr>
          <w:rFonts w:ascii="Garamond" w:eastAsia="Garamond" w:hAnsi="Garamond"/>
          <w:lang w:val="en-US"/>
        </w:rPr>
      </w:pPr>
    </w:p>
    <w:p w:rsidR="00E97416" w:rsidRPr="00E97416" w:rsidRDefault="00E97416" w:rsidP="00E97416">
      <w:pPr>
        <w:rPr>
          <w:rFonts w:ascii="Arial" w:eastAsia="Garamond" w:hAnsi="Arial"/>
          <w:sz w:val="18"/>
          <w:lang w:val="en-US"/>
        </w:rPr>
      </w:pPr>
      <w:r w:rsidRPr="00E97416">
        <w:rPr>
          <w:rFonts w:ascii="Arial" w:eastAsia="Garamond" w:hAnsi="Arial"/>
          <w:sz w:val="18"/>
          <w:lang w:val="en-US"/>
        </w:rPr>
        <w:t>Table A1: Employment and its composition according to ENOE 2015 – IV</w:t>
      </w:r>
    </w:p>
    <w:tbl>
      <w:tblPr>
        <w:tblW w:w="5000" w:type="pct"/>
        <w:tblBorders>
          <w:top w:val="single" w:sz="4" w:space="0" w:color="auto"/>
          <w:bottom w:val="single" w:sz="4" w:space="0" w:color="auto"/>
        </w:tblBorders>
        <w:tblLook w:val="04A0" w:firstRow="1" w:lastRow="0" w:firstColumn="1" w:lastColumn="0" w:noHBand="0" w:noVBand="1"/>
      </w:tblPr>
      <w:tblGrid>
        <w:gridCol w:w="6603"/>
        <w:gridCol w:w="937"/>
        <w:gridCol w:w="1486"/>
      </w:tblGrid>
      <w:tr w:rsidR="00E97416" w:rsidRPr="004576B2" w:rsidTr="00F76D68">
        <w:trPr>
          <w:cantSplit/>
        </w:trPr>
        <w:tc>
          <w:tcPr>
            <w:tcW w:w="3658" w:type="pct"/>
            <w:tcBorders>
              <w:top w:val="single" w:sz="4" w:space="0" w:color="auto"/>
              <w:bottom w:val="single" w:sz="4" w:space="0" w:color="auto"/>
            </w:tcBorders>
            <w:shd w:val="clear" w:color="auto" w:fill="auto"/>
          </w:tcPr>
          <w:p w:rsidR="00E97416" w:rsidRPr="00E97416" w:rsidRDefault="00E97416" w:rsidP="00E97416">
            <w:pPr>
              <w:suppressAutoHyphens/>
              <w:rPr>
                <w:rFonts w:ascii="Arial" w:eastAsia="Garamond" w:hAnsi="Arial"/>
                <w:sz w:val="18"/>
                <w:lang w:val="en-US"/>
              </w:rPr>
            </w:pPr>
          </w:p>
        </w:tc>
        <w:tc>
          <w:tcPr>
            <w:tcW w:w="519" w:type="pct"/>
            <w:tcBorders>
              <w:top w:val="single" w:sz="4" w:space="0" w:color="auto"/>
              <w:bottom w:val="single" w:sz="4" w:space="0" w:color="auto"/>
            </w:tcBorders>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Millions</w:t>
            </w:r>
          </w:p>
        </w:tc>
        <w:tc>
          <w:tcPr>
            <w:tcW w:w="824" w:type="pct"/>
            <w:tcBorders>
              <w:top w:val="single" w:sz="4" w:space="0" w:color="auto"/>
              <w:bottom w:val="single" w:sz="4" w:space="0" w:color="auto"/>
            </w:tcBorders>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Percentage</w:t>
            </w:r>
          </w:p>
        </w:tc>
      </w:tr>
      <w:tr w:rsidR="00E97416" w:rsidRPr="004576B2" w:rsidTr="00F76D68">
        <w:trPr>
          <w:cantSplit/>
        </w:trPr>
        <w:tc>
          <w:tcPr>
            <w:tcW w:w="3658" w:type="pct"/>
            <w:tcBorders>
              <w:top w:val="single" w:sz="4" w:space="0" w:color="auto"/>
            </w:tcBorders>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Total employed population</w:t>
            </w:r>
          </w:p>
        </w:tc>
        <w:tc>
          <w:tcPr>
            <w:tcW w:w="519" w:type="pct"/>
            <w:tcBorders>
              <w:top w:val="single" w:sz="4" w:space="0" w:color="auto"/>
            </w:tcBorders>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42.9</w:t>
            </w:r>
          </w:p>
        </w:tc>
        <w:tc>
          <w:tcPr>
            <w:tcW w:w="824" w:type="pct"/>
            <w:tcBorders>
              <w:top w:val="single" w:sz="4" w:space="0" w:color="auto"/>
            </w:tcBorders>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100</w:t>
            </w:r>
          </w:p>
        </w:tc>
      </w:tr>
      <w:tr w:rsidR="00E97416" w:rsidRPr="004576B2" w:rsidTr="00F76D68">
        <w:trPr>
          <w:cantSplit/>
        </w:trPr>
        <w:tc>
          <w:tcPr>
            <w:tcW w:w="3658"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Wage earners</w:t>
            </w:r>
          </w:p>
        </w:tc>
        <w:tc>
          <w:tcPr>
            <w:tcW w:w="519" w:type="pct"/>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25.6</w:t>
            </w:r>
          </w:p>
        </w:tc>
        <w:tc>
          <w:tcPr>
            <w:tcW w:w="824" w:type="pct"/>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59.7</w:t>
            </w:r>
          </w:p>
        </w:tc>
      </w:tr>
      <w:tr w:rsidR="00E97416" w:rsidRPr="004576B2" w:rsidTr="00F76D68">
        <w:trPr>
          <w:cantSplit/>
        </w:trPr>
        <w:tc>
          <w:tcPr>
            <w:tcW w:w="3658"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Self-employed</w:t>
            </w:r>
          </w:p>
        </w:tc>
        <w:tc>
          <w:tcPr>
            <w:tcW w:w="519" w:type="pct"/>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10.1</w:t>
            </w:r>
          </w:p>
        </w:tc>
        <w:tc>
          <w:tcPr>
            <w:tcW w:w="824" w:type="pct"/>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23.5</w:t>
            </w:r>
          </w:p>
        </w:tc>
      </w:tr>
      <w:tr w:rsidR="00E97416" w:rsidRPr="004576B2" w:rsidTr="00F76D68">
        <w:trPr>
          <w:cantSplit/>
        </w:trPr>
        <w:tc>
          <w:tcPr>
            <w:tcW w:w="3658"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Subordinated and remunerated workers with non-wage remuneration</w:t>
            </w:r>
          </w:p>
        </w:tc>
        <w:tc>
          <w:tcPr>
            <w:tcW w:w="519" w:type="pct"/>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2.2</w:t>
            </w:r>
          </w:p>
        </w:tc>
        <w:tc>
          <w:tcPr>
            <w:tcW w:w="824" w:type="pct"/>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5.1</w:t>
            </w:r>
          </w:p>
        </w:tc>
      </w:tr>
      <w:tr w:rsidR="00E97416" w:rsidRPr="004576B2" w:rsidTr="00F76D68">
        <w:trPr>
          <w:cantSplit/>
        </w:trPr>
        <w:tc>
          <w:tcPr>
            <w:tcW w:w="3658"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Non-remunerated workers</w:t>
            </w:r>
          </w:p>
        </w:tc>
        <w:tc>
          <w:tcPr>
            <w:tcW w:w="519" w:type="pct"/>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3.0</w:t>
            </w:r>
          </w:p>
        </w:tc>
        <w:tc>
          <w:tcPr>
            <w:tcW w:w="824" w:type="pct"/>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7.0</w:t>
            </w:r>
          </w:p>
        </w:tc>
      </w:tr>
      <w:tr w:rsidR="00E97416" w:rsidRPr="004576B2" w:rsidTr="00F76D68">
        <w:trPr>
          <w:cantSplit/>
        </w:trPr>
        <w:tc>
          <w:tcPr>
            <w:tcW w:w="3658"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Employers</w:t>
            </w:r>
          </w:p>
        </w:tc>
        <w:tc>
          <w:tcPr>
            <w:tcW w:w="519" w:type="pct"/>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2.0</w:t>
            </w:r>
          </w:p>
        </w:tc>
        <w:tc>
          <w:tcPr>
            <w:tcW w:w="824" w:type="pct"/>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4.7</w:t>
            </w:r>
          </w:p>
        </w:tc>
      </w:tr>
    </w:tbl>
    <w:p w:rsidR="00E97416" w:rsidRPr="00E97416" w:rsidRDefault="00E97416" w:rsidP="00E97416">
      <w:pPr>
        <w:rPr>
          <w:rFonts w:ascii="Arial" w:eastAsia="Garamond" w:hAnsi="Arial"/>
          <w:sz w:val="18"/>
          <w:lang w:val="en-US"/>
        </w:rPr>
      </w:pPr>
      <w:r w:rsidRPr="00E97416">
        <w:rPr>
          <w:rFonts w:ascii="Arial" w:eastAsia="Garamond" w:hAnsi="Arial"/>
          <w:sz w:val="18"/>
          <w:lang w:val="en-US"/>
        </w:rPr>
        <w:t>Source: Authors’ calculation based on data from ENOE.</w:t>
      </w:r>
    </w:p>
    <w:p w:rsidR="00E97416" w:rsidRDefault="00E97416" w:rsidP="00E97416">
      <w:pPr>
        <w:suppressAutoHyphens/>
        <w:jc w:val="both"/>
        <w:rPr>
          <w:rFonts w:ascii="Garamond" w:eastAsia="Garamond" w:hAnsi="Garamond"/>
          <w:lang w:val="en-US"/>
        </w:rPr>
      </w:pPr>
    </w:p>
    <w:p w:rsidR="00E97416" w:rsidRPr="00566BC9" w:rsidRDefault="00E97416" w:rsidP="00E97416">
      <w:pPr>
        <w:suppressAutoHyphens/>
        <w:ind w:firstLine="708"/>
        <w:jc w:val="both"/>
        <w:rPr>
          <w:rFonts w:ascii="Garamond" w:eastAsia="Garamond" w:hAnsi="Garamond"/>
          <w:szCs w:val="24"/>
          <w:lang w:val="en-US"/>
        </w:rPr>
      </w:pPr>
      <w:r w:rsidRPr="00566BC9">
        <w:rPr>
          <w:rFonts w:ascii="Garamond" w:eastAsia="Garamond" w:hAnsi="Garamond"/>
          <w:szCs w:val="24"/>
          <w:lang w:val="en-US"/>
        </w:rPr>
        <w:t xml:space="preserve">The ENOE merged the </w:t>
      </w:r>
      <w:proofErr w:type="spellStart"/>
      <w:r w:rsidRPr="00566BC9">
        <w:rPr>
          <w:rFonts w:ascii="Garamond" w:eastAsia="Garamond" w:hAnsi="Garamond"/>
          <w:szCs w:val="24"/>
          <w:lang w:val="en-US"/>
        </w:rPr>
        <w:t>Encuesta</w:t>
      </w:r>
      <w:proofErr w:type="spellEnd"/>
      <w:r w:rsidRPr="00566BC9">
        <w:rPr>
          <w:rFonts w:ascii="Garamond" w:eastAsia="Garamond" w:hAnsi="Garamond"/>
          <w:szCs w:val="24"/>
          <w:lang w:val="en-US"/>
        </w:rPr>
        <w:t xml:space="preserve"> Nacional de </w:t>
      </w:r>
      <w:proofErr w:type="spellStart"/>
      <w:r w:rsidRPr="00566BC9">
        <w:rPr>
          <w:rFonts w:ascii="Garamond" w:eastAsia="Garamond" w:hAnsi="Garamond"/>
          <w:szCs w:val="24"/>
          <w:lang w:val="en-US"/>
        </w:rPr>
        <w:t>Empleo</w:t>
      </w:r>
      <w:proofErr w:type="spellEnd"/>
      <w:r w:rsidRPr="00566BC9">
        <w:rPr>
          <w:rFonts w:ascii="Garamond" w:eastAsia="Garamond" w:hAnsi="Garamond"/>
          <w:szCs w:val="24"/>
          <w:lang w:val="en-US"/>
        </w:rPr>
        <w:t xml:space="preserve"> </w:t>
      </w:r>
      <w:proofErr w:type="spellStart"/>
      <w:r w:rsidRPr="00566BC9">
        <w:rPr>
          <w:rFonts w:ascii="Garamond" w:eastAsia="Garamond" w:hAnsi="Garamond"/>
          <w:szCs w:val="24"/>
          <w:lang w:val="en-US"/>
        </w:rPr>
        <w:t>Urbano</w:t>
      </w:r>
      <w:proofErr w:type="spellEnd"/>
      <w:r w:rsidRPr="00566BC9">
        <w:rPr>
          <w:rFonts w:ascii="Garamond" w:eastAsia="Garamond" w:hAnsi="Garamond"/>
          <w:szCs w:val="24"/>
          <w:lang w:val="en-US"/>
        </w:rPr>
        <w:t xml:space="preserve"> (ENEU, National Urban Employment Survey) and the ENE, and replaced both surveys starting in 2005. In the </w:t>
      </w:r>
      <w:proofErr w:type="gramStart"/>
      <w:r w:rsidRPr="00566BC9">
        <w:rPr>
          <w:rFonts w:ascii="Garamond" w:eastAsia="Garamond" w:hAnsi="Garamond"/>
          <w:szCs w:val="24"/>
          <w:lang w:val="en-US"/>
        </w:rPr>
        <w:t>ENOE</w:t>
      </w:r>
      <w:proofErr w:type="gramEnd"/>
      <w:r w:rsidRPr="00566BC9">
        <w:rPr>
          <w:rFonts w:ascii="Garamond" w:eastAsia="Garamond" w:hAnsi="Garamond"/>
          <w:szCs w:val="24"/>
          <w:lang w:val="en-US"/>
        </w:rPr>
        <w:t xml:space="preserve"> the sectors are classified according to the SCIAN-</w:t>
      </w:r>
      <w:proofErr w:type="spellStart"/>
      <w:r w:rsidRPr="00566BC9">
        <w:rPr>
          <w:rFonts w:ascii="Garamond" w:eastAsia="Garamond" w:hAnsi="Garamond"/>
          <w:szCs w:val="24"/>
          <w:lang w:val="en-US"/>
        </w:rPr>
        <w:t>Hogares</w:t>
      </w:r>
      <w:proofErr w:type="spellEnd"/>
      <w:r w:rsidRPr="00566BC9">
        <w:rPr>
          <w:rFonts w:ascii="Garamond" w:eastAsia="Garamond" w:hAnsi="Garamond"/>
          <w:szCs w:val="24"/>
          <w:lang w:val="en-US"/>
        </w:rPr>
        <w:t xml:space="preserve"> classification, while in the ENE they are classified according to the </w:t>
      </w:r>
      <w:proofErr w:type="spellStart"/>
      <w:r w:rsidRPr="00566BC9">
        <w:rPr>
          <w:rFonts w:ascii="Garamond" w:eastAsia="Garamond" w:hAnsi="Garamond"/>
          <w:szCs w:val="24"/>
          <w:lang w:val="en-US"/>
        </w:rPr>
        <w:t>Clasificación</w:t>
      </w:r>
      <w:proofErr w:type="spellEnd"/>
      <w:r w:rsidRPr="00566BC9">
        <w:rPr>
          <w:rFonts w:ascii="Garamond" w:eastAsia="Garamond" w:hAnsi="Garamond"/>
          <w:szCs w:val="24"/>
          <w:lang w:val="en-US"/>
        </w:rPr>
        <w:t xml:space="preserve"> de </w:t>
      </w:r>
      <w:proofErr w:type="spellStart"/>
      <w:r w:rsidRPr="00566BC9">
        <w:rPr>
          <w:rFonts w:ascii="Garamond" w:eastAsia="Garamond" w:hAnsi="Garamond"/>
          <w:szCs w:val="24"/>
          <w:lang w:val="en-US"/>
        </w:rPr>
        <w:t>Actividades</w:t>
      </w:r>
      <w:proofErr w:type="spellEnd"/>
      <w:r w:rsidRPr="00566BC9">
        <w:rPr>
          <w:rFonts w:ascii="Garamond" w:eastAsia="Garamond" w:hAnsi="Garamond"/>
          <w:szCs w:val="24"/>
          <w:lang w:val="en-US"/>
        </w:rPr>
        <w:t xml:space="preserve"> </w:t>
      </w:r>
      <w:proofErr w:type="spellStart"/>
      <w:r w:rsidRPr="00566BC9">
        <w:rPr>
          <w:rFonts w:ascii="Garamond" w:eastAsia="Garamond" w:hAnsi="Garamond"/>
          <w:szCs w:val="24"/>
          <w:lang w:val="en-US"/>
        </w:rPr>
        <w:t>Económicas</w:t>
      </w:r>
      <w:proofErr w:type="spellEnd"/>
      <w:r w:rsidRPr="00566BC9">
        <w:rPr>
          <w:rFonts w:ascii="Garamond" w:eastAsia="Garamond" w:hAnsi="Garamond"/>
          <w:szCs w:val="24"/>
          <w:lang w:val="en-US"/>
        </w:rPr>
        <w:t xml:space="preserve"> de la </w:t>
      </w:r>
      <w:proofErr w:type="spellStart"/>
      <w:r w:rsidRPr="00566BC9">
        <w:rPr>
          <w:rFonts w:ascii="Garamond" w:eastAsia="Garamond" w:hAnsi="Garamond"/>
          <w:szCs w:val="24"/>
          <w:lang w:val="en-US"/>
        </w:rPr>
        <w:t>Encuesta</w:t>
      </w:r>
      <w:proofErr w:type="spellEnd"/>
      <w:r w:rsidRPr="00566BC9">
        <w:rPr>
          <w:rFonts w:ascii="Garamond" w:eastAsia="Garamond" w:hAnsi="Garamond"/>
          <w:szCs w:val="24"/>
          <w:lang w:val="en-US"/>
        </w:rPr>
        <w:t xml:space="preserve"> Nacional de </w:t>
      </w:r>
      <w:proofErr w:type="spellStart"/>
      <w:r w:rsidRPr="00566BC9">
        <w:rPr>
          <w:rFonts w:ascii="Garamond" w:eastAsia="Garamond" w:hAnsi="Garamond"/>
          <w:szCs w:val="24"/>
          <w:lang w:val="en-US"/>
        </w:rPr>
        <w:t>Empleo</w:t>
      </w:r>
      <w:proofErr w:type="spellEnd"/>
      <w:r w:rsidRPr="00566BC9">
        <w:rPr>
          <w:rFonts w:ascii="Garamond" w:eastAsia="Garamond" w:hAnsi="Garamond"/>
          <w:szCs w:val="24"/>
          <w:lang w:val="en-US"/>
        </w:rPr>
        <w:t xml:space="preserve"> </w:t>
      </w:r>
      <w:proofErr w:type="spellStart"/>
      <w:r w:rsidRPr="00566BC9">
        <w:rPr>
          <w:rFonts w:ascii="Garamond" w:eastAsia="Garamond" w:hAnsi="Garamond"/>
          <w:szCs w:val="24"/>
          <w:lang w:val="en-US"/>
        </w:rPr>
        <w:t>Urbano</w:t>
      </w:r>
      <w:proofErr w:type="spellEnd"/>
      <w:r w:rsidRPr="00566BC9">
        <w:rPr>
          <w:rFonts w:ascii="Garamond" w:eastAsia="Garamond" w:hAnsi="Garamond"/>
          <w:szCs w:val="24"/>
          <w:lang w:val="en-US"/>
        </w:rPr>
        <w:t xml:space="preserve"> (CAE-ENEU-94, Classification of Economic Activities of the ENEU) system. Due to these disparities in the classification </w:t>
      </w:r>
      <w:proofErr w:type="gramStart"/>
      <w:r w:rsidRPr="00566BC9">
        <w:rPr>
          <w:rFonts w:ascii="Garamond" w:eastAsia="Garamond" w:hAnsi="Garamond"/>
          <w:szCs w:val="24"/>
          <w:lang w:val="en-US"/>
        </w:rPr>
        <w:t>systems</w:t>
      </w:r>
      <w:proofErr w:type="gramEnd"/>
      <w:r w:rsidRPr="00566BC9">
        <w:rPr>
          <w:rFonts w:ascii="Garamond" w:eastAsia="Garamond" w:hAnsi="Garamond"/>
          <w:szCs w:val="24"/>
          <w:lang w:val="en-US"/>
        </w:rPr>
        <w:t xml:space="preserve"> it was necessary to homologate the employment series of the ENE and the ENOE to estimate employment series from 1995 to 2014. The homologation between the ENOE and ENE databases was made using the microdata available (see INEGI, </w:t>
      </w:r>
      <w:proofErr w:type="spellStart"/>
      <w:r w:rsidRPr="00566BC9">
        <w:rPr>
          <w:rFonts w:ascii="Garamond" w:eastAsia="Garamond" w:hAnsi="Garamond"/>
          <w:szCs w:val="24"/>
          <w:lang w:val="en-US"/>
        </w:rPr>
        <w:t>n.d.</w:t>
      </w:r>
      <w:proofErr w:type="spellEnd"/>
      <w:r w:rsidR="000C7BB5" w:rsidRPr="00566BC9">
        <w:rPr>
          <w:rFonts w:ascii="Garamond" w:eastAsia="Garamond" w:hAnsi="Garamond"/>
          <w:szCs w:val="24"/>
          <w:lang w:val="en-US"/>
        </w:rPr>
        <w:t xml:space="preserve">, </w:t>
      </w:r>
      <w:r w:rsidRPr="00566BC9">
        <w:rPr>
          <w:rFonts w:ascii="Garamond" w:eastAsia="Garamond" w:hAnsi="Garamond"/>
          <w:szCs w:val="24"/>
          <w:lang w:val="en-US"/>
        </w:rPr>
        <w:t>a</w:t>
      </w:r>
      <w:r w:rsidR="000C7BB5" w:rsidRPr="00566BC9">
        <w:rPr>
          <w:rFonts w:ascii="Garamond" w:eastAsia="Garamond" w:hAnsi="Garamond"/>
          <w:szCs w:val="24"/>
          <w:lang w:val="en-US"/>
        </w:rPr>
        <w:t>;</w:t>
      </w:r>
      <w:r w:rsidRPr="00566BC9">
        <w:rPr>
          <w:rFonts w:ascii="Garamond" w:eastAsia="Garamond" w:hAnsi="Garamond"/>
          <w:szCs w:val="24"/>
          <w:lang w:val="en-US"/>
        </w:rPr>
        <w:t xml:space="preserve"> </w:t>
      </w:r>
      <w:proofErr w:type="spellStart"/>
      <w:r w:rsidRPr="00566BC9">
        <w:rPr>
          <w:rFonts w:ascii="Garamond" w:eastAsia="Garamond" w:hAnsi="Garamond"/>
          <w:szCs w:val="24"/>
          <w:lang w:val="en-US"/>
        </w:rPr>
        <w:t>n.d.</w:t>
      </w:r>
      <w:proofErr w:type="spellEnd"/>
      <w:r w:rsidR="000C7BB5" w:rsidRPr="00566BC9">
        <w:rPr>
          <w:rFonts w:ascii="Garamond" w:eastAsia="Garamond" w:hAnsi="Garamond"/>
          <w:szCs w:val="24"/>
          <w:lang w:val="en-US"/>
        </w:rPr>
        <w:t xml:space="preserve">, </w:t>
      </w:r>
      <w:r w:rsidRPr="00566BC9">
        <w:rPr>
          <w:rFonts w:ascii="Garamond" w:eastAsia="Garamond" w:hAnsi="Garamond"/>
          <w:szCs w:val="24"/>
          <w:lang w:val="en-US"/>
        </w:rPr>
        <w:t>b) and an INEGI comparative between sectors codes according to CAE-ENEU-94 and SCIAN-</w:t>
      </w:r>
      <w:proofErr w:type="spellStart"/>
      <w:r w:rsidRPr="00566BC9">
        <w:rPr>
          <w:rFonts w:ascii="Garamond" w:eastAsia="Garamond" w:hAnsi="Garamond"/>
          <w:szCs w:val="24"/>
          <w:lang w:val="en-US"/>
        </w:rPr>
        <w:t>Hogares</w:t>
      </w:r>
      <w:proofErr w:type="spellEnd"/>
      <w:r w:rsidRPr="00566BC9">
        <w:rPr>
          <w:rFonts w:ascii="Garamond" w:eastAsia="Garamond" w:hAnsi="Garamond"/>
          <w:szCs w:val="24"/>
          <w:lang w:val="en-US"/>
        </w:rPr>
        <w:t xml:space="preserve">, based on an unpublished document provided by INEGI. </w:t>
      </w:r>
    </w:p>
    <w:p w:rsidR="00E97416" w:rsidRDefault="00E97416" w:rsidP="00E97416">
      <w:pPr>
        <w:suppressAutoHyphens/>
        <w:jc w:val="both"/>
        <w:rPr>
          <w:rFonts w:ascii="Garamond" w:eastAsia="Garamond" w:hAnsi="Garamond"/>
          <w:lang w:val="en-US"/>
        </w:rPr>
      </w:pPr>
    </w:p>
    <w:p w:rsidR="00E97416" w:rsidRDefault="00E97416" w:rsidP="00E97416">
      <w:pPr>
        <w:suppressAutoHyphens/>
        <w:ind w:firstLine="708"/>
        <w:jc w:val="both"/>
        <w:rPr>
          <w:rFonts w:ascii="Garamond" w:eastAsia="Garamond" w:hAnsi="Garamond"/>
          <w:lang w:val="en-US"/>
        </w:rPr>
      </w:pPr>
      <w:r w:rsidRPr="00E97416">
        <w:rPr>
          <w:rFonts w:ascii="Garamond" w:eastAsia="Garamond" w:hAnsi="Garamond"/>
          <w:lang w:val="en-US"/>
        </w:rPr>
        <w:lastRenderedPageBreak/>
        <w:t xml:space="preserve">ENOE’s SCIAN classification </w:t>
      </w:r>
      <w:proofErr w:type="gramStart"/>
      <w:r w:rsidRPr="00E97416">
        <w:rPr>
          <w:rFonts w:ascii="Garamond" w:eastAsia="Garamond" w:hAnsi="Garamond"/>
          <w:lang w:val="en-US"/>
        </w:rPr>
        <w:t>was used</w:t>
      </w:r>
      <w:proofErr w:type="gramEnd"/>
      <w:r w:rsidRPr="00E97416">
        <w:rPr>
          <w:rFonts w:ascii="Garamond" w:eastAsia="Garamond" w:hAnsi="Garamond"/>
          <w:lang w:val="en-US"/>
        </w:rPr>
        <w:t xml:space="preserve"> as a reference for the homologation, and then this was matched with the SCIAN classification of th</w:t>
      </w:r>
      <w:r>
        <w:rPr>
          <w:rFonts w:ascii="Garamond" w:eastAsia="Garamond" w:hAnsi="Garamond"/>
          <w:lang w:val="en-US"/>
        </w:rPr>
        <w:t>e INEGI</w:t>
      </w:r>
      <w:r w:rsidRPr="00E97416">
        <w:rPr>
          <w:rFonts w:ascii="Garamond" w:eastAsia="Garamond" w:hAnsi="Garamond"/>
          <w:lang w:val="en-US"/>
        </w:rPr>
        <w:t xml:space="preserve">–KLEMS project. In both </w:t>
      </w:r>
      <w:proofErr w:type="gramStart"/>
      <w:r w:rsidRPr="00E97416">
        <w:rPr>
          <w:rFonts w:ascii="Garamond" w:eastAsia="Garamond" w:hAnsi="Garamond"/>
          <w:lang w:val="en-US"/>
        </w:rPr>
        <w:t>classifications</w:t>
      </w:r>
      <w:proofErr w:type="gramEnd"/>
      <w:r w:rsidRPr="00E97416">
        <w:rPr>
          <w:rFonts w:ascii="Garamond" w:eastAsia="Garamond" w:hAnsi="Garamond"/>
          <w:lang w:val="en-US"/>
        </w:rPr>
        <w:t xml:space="preserve"> there are 20 economic sectors. However, due to differences in the classification systems of ENE and ENOE, sectors 43 and 46 were combined into a single sector, Commerce, and sectors 53 and 55 were also combined, while sector 56 (</w:t>
      </w:r>
      <w:r w:rsidRPr="00E97416">
        <w:rPr>
          <w:rFonts w:ascii="Garamond" w:eastAsia="Garamond" w:hAnsi="Garamond" w:cs="ArialMT"/>
          <w:szCs w:val="26"/>
          <w:lang w:val="en-US" w:bidi="en-US"/>
        </w:rPr>
        <w:t xml:space="preserve">Administrative and support, waste management, and remediation services) </w:t>
      </w:r>
      <w:r w:rsidRPr="00E97416">
        <w:rPr>
          <w:rFonts w:ascii="Garamond" w:eastAsia="Garamond" w:hAnsi="Garamond"/>
          <w:lang w:val="en-US"/>
        </w:rPr>
        <w:t>was dismissed for showing very erratic behavior of total employment. This left a classification system for the whole economy with 1</w:t>
      </w:r>
      <w:r>
        <w:rPr>
          <w:rFonts w:ascii="Garamond" w:eastAsia="Garamond" w:hAnsi="Garamond"/>
          <w:lang w:val="en-US"/>
        </w:rPr>
        <w:t>7 sectors (see Table A2).</w:t>
      </w:r>
    </w:p>
    <w:p w:rsidR="00E97416" w:rsidRPr="00E97416" w:rsidRDefault="00E97416" w:rsidP="00E97416">
      <w:pPr>
        <w:suppressAutoHyphens/>
        <w:jc w:val="both"/>
        <w:rPr>
          <w:rFonts w:ascii="Garamond" w:eastAsia="Garamond" w:hAnsi="Garamond"/>
          <w:lang w:val="en-US"/>
        </w:rPr>
      </w:pPr>
    </w:p>
    <w:p w:rsidR="00E97416" w:rsidRPr="00E97416" w:rsidRDefault="00E97416" w:rsidP="00E97416">
      <w:pPr>
        <w:rPr>
          <w:rFonts w:ascii="Arial" w:eastAsia="Garamond" w:hAnsi="Arial"/>
          <w:sz w:val="18"/>
          <w:lang w:val="en-US"/>
        </w:rPr>
      </w:pPr>
      <w:r w:rsidRPr="00E97416">
        <w:rPr>
          <w:rFonts w:ascii="Arial" w:eastAsia="Garamond" w:hAnsi="Arial"/>
          <w:sz w:val="18"/>
          <w:lang w:val="en-US"/>
        </w:rPr>
        <w:t>Table A2: Economic sectors of the whole economy</w:t>
      </w:r>
    </w:p>
    <w:tbl>
      <w:tblPr>
        <w:tblW w:w="5000" w:type="pct"/>
        <w:tblBorders>
          <w:top w:val="single" w:sz="4" w:space="0" w:color="auto"/>
          <w:bottom w:val="single" w:sz="4" w:space="0" w:color="auto"/>
        </w:tblBorders>
        <w:tblLook w:val="04A0" w:firstRow="1" w:lastRow="0" w:firstColumn="1" w:lastColumn="0" w:noHBand="0" w:noVBand="1"/>
      </w:tblPr>
      <w:tblGrid>
        <w:gridCol w:w="1336"/>
        <w:gridCol w:w="1495"/>
        <w:gridCol w:w="6195"/>
      </w:tblGrid>
      <w:tr w:rsidR="00E97416" w:rsidRPr="004576B2" w:rsidTr="00F76D68">
        <w:tc>
          <w:tcPr>
            <w:tcW w:w="740" w:type="pct"/>
            <w:tcBorders>
              <w:top w:val="single" w:sz="4" w:space="0" w:color="auto"/>
              <w:bottom w:val="single" w:sz="4" w:space="0" w:color="auto"/>
            </w:tcBorders>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SCIAN–</w:t>
            </w:r>
            <w:r>
              <w:rPr>
                <w:rFonts w:ascii="Arial" w:eastAsia="Garamond" w:hAnsi="Arial"/>
                <w:sz w:val="18"/>
                <w:lang w:val="en-US"/>
              </w:rPr>
              <w:t xml:space="preserve"> </w:t>
            </w:r>
            <w:r w:rsidRPr="00E97416">
              <w:rPr>
                <w:rFonts w:ascii="Arial" w:eastAsia="Garamond" w:hAnsi="Arial"/>
                <w:sz w:val="18"/>
                <w:lang w:val="en-US"/>
              </w:rPr>
              <w:t>ENOE</w:t>
            </w:r>
          </w:p>
        </w:tc>
        <w:tc>
          <w:tcPr>
            <w:tcW w:w="828" w:type="pct"/>
            <w:tcBorders>
              <w:top w:val="single" w:sz="4" w:space="0" w:color="auto"/>
              <w:bottom w:val="single" w:sz="4" w:space="0" w:color="auto"/>
            </w:tcBorders>
            <w:shd w:val="clear" w:color="auto" w:fill="auto"/>
          </w:tcPr>
          <w:p w:rsidR="00E97416" w:rsidRPr="00E97416" w:rsidRDefault="00E97416" w:rsidP="00E97416">
            <w:pPr>
              <w:suppressAutoHyphens/>
              <w:jc w:val="center"/>
              <w:rPr>
                <w:rFonts w:ascii="Arial" w:eastAsia="Garamond" w:hAnsi="Arial"/>
                <w:sz w:val="18"/>
                <w:lang w:val="en-US"/>
              </w:rPr>
            </w:pPr>
            <w:r>
              <w:rPr>
                <w:rFonts w:ascii="Arial" w:eastAsia="Garamond" w:hAnsi="Arial"/>
                <w:sz w:val="18"/>
                <w:lang w:val="en-US"/>
              </w:rPr>
              <w:t>SCIAN</w:t>
            </w:r>
            <w:r w:rsidRPr="00E97416">
              <w:rPr>
                <w:rFonts w:ascii="Arial" w:eastAsia="Garamond" w:hAnsi="Arial"/>
                <w:sz w:val="18"/>
                <w:lang w:val="en-US"/>
              </w:rPr>
              <w:t>–KLEMS</w:t>
            </w:r>
          </w:p>
        </w:tc>
        <w:tc>
          <w:tcPr>
            <w:tcW w:w="3432" w:type="pct"/>
            <w:tcBorders>
              <w:top w:val="single" w:sz="4" w:space="0" w:color="auto"/>
              <w:bottom w:val="single" w:sz="4" w:space="0" w:color="auto"/>
            </w:tcBorders>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Sector</w:t>
            </w:r>
          </w:p>
        </w:tc>
      </w:tr>
      <w:tr w:rsidR="00E97416" w:rsidRPr="00C40B75" w:rsidTr="00F76D68">
        <w:tc>
          <w:tcPr>
            <w:tcW w:w="740" w:type="pct"/>
            <w:tcBorders>
              <w:top w:val="single" w:sz="4" w:space="0" w:color="auto"/>
            </w:tcBorders>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1</w:t>
            </w:r>
          </w:p>
        </w:tc>
        <w:tc>
          <w:tcPr>
            <w:tcW w:w="828" w:type="pct"/>
            <w:tcBorders>
              <w:top w:val="single" w:sz="4" w:space="0" w:color="auto"/>
            </w:tcBorders>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11</w:t>
            </w:r>
          </w:p>
        </w:tc>
        <w:tc>
          <w:tcPr>
            <w:tcW w:w="3432" w:type="pct"/>
            <w:tcBorders>
              <w:top w:val="single" w:sz="4" w:space="0" w:color="auto"/>
            </w:tcBorders>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Agriculture, forestry, fishing, and hunting</w:t>
            </w:r>
          </w:p>
        </w:tc>
      </w:tr>
      <w:tr w:rsidR="00E97416" w:rsidRPr="00C40B75" w:rsidTr="00F76D68">
        <w:tc>
          <w:tcPr>
            <w:tcW w:w="740"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2</w:t>
            </w:r>
          </w:p>
        </w:tc>
        <w:tc>
          <w:tcPr>
            <w:tcW w:w="828" w:type="pct"/>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21</w:t>
            </w:r>
          </w:p>
        </w:tc>
        <w:tc>
          <w:tcPr>
            <w:tcW w:w="3432"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Mining, quarrying, and oil and gas extraction</w:t>
            </w:r>
          </w:p>
        </w:tc>
      </w:tr>
      <w:tr w:rsidR="00E97416" w:rsidRPr="004576B2" w:rsidTr="00F76D68">
        <w:tc>
          <w:tcPr>
            <w:tcW w:w="740"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3</w:t>
            </w:r>
          </w:p>
        </w:tc>
        <w:tc>
          <w:tcPr>
            <w:tcW w:w="828" w:type="pct"/>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22</w:t>
            </w:r>
          </w:p>
        </w:tc>
        <w:tc>
          <w:tcPr>
            <w:tcW w:w="3432"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Utilities</w:t>
            </w:r>
          </w:p>
        </w:tc>
      </w:tr>
      <w:tr w:rsidR="00E97416" w:rsidRPr="004576B2" w:rsidTr="00F76D68">
        <w:tc>
          <w:tcPr>
            <w:tcW w:w="740"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4</w:t>
            </w:r>
          </w:p>
        </w:tc>
        <w:tc>
          <w:tcPr>
            <w:tcW w:w="828" w:type="pct"/>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23</w:t>
            </w:r>
          </w:p>
        </w:tc>
        <w:tc>
          <w:tcPr>
            <w:tcW w:w="3432"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Construction</w:t>
            </w:r>
          </w:p>
        </w:tc>
      </w:tr>
      <w:tr w:rsidR="00E97416" w:rsidRPr="004576B2" w:rsidTr="00F76D68">
        <w:tc>
          <w:tcPr>
            <w:tcW w:w="740"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5</w:t>
            </w:r>
          </w:p>
        </w:tc>
        <w:tc>
          <w:tcPr>
            <w:tcW w:w="828" w:type="pct"/>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31–33</w:t>
            </w:r>
          </w:p>
        </w:tc>
        <w:tc>
          <w:tcPr>
            <w:tcW w:w="3432"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Manufacturing</w:t>
            </w:r>
          </w:p>
        </w:tc>
      </w:tr>
      <w:tr w:rsidR="00E97416" w:rsidRPr="004576B2" w:rsidTr="00F76D68">
        <w:trPr>
          <w:trHeight w:val="180"/>
        </w:trPr>
        <w:tc>
          <w:tcPr>
            <w:tcW w:w="740"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6, 7</w:t>
            </w:r>
          </w:p>
        </w:tc>
        <w:tc>
          <w:tcPr>
            <w:tcW w:w="828" w:type="pct"/>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43 and 46</w:t>
            </w:r>
          </w:p>
        </w:tc>
        <w:tc>
          <w:tcPr>
            <w:tcW w:w="3432"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Wholesale trade; retail trade</w:t>
            </w:r>
          </w:p>
        </w:tc>
      </w:tr>
      <w:tr w:rsidR="00E97416" w:rsidRPr="004576B2" w:rsidTr="00F76D68">
        <w:tc>
          <w:tcPr>
            <w:tcW w:w="740"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8</w:t>
            </w:r>
          </w:p>
        </w:tc>
        <w:tc>
          <w:tcPr>
            <w:tcW w:w="828" w:type="pct"/>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48–49</w:t>
            </w:r>
          </w:p>
        </w:tc>
        <w:tc>
          <w:tcPr>
            <w:tcW w:w="3432"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Transportation and warehousing</w:t>
            </w:r>
          </w:p>
        </w:tc>
      </w:tr>
      <w:tr w:rsidR="00E97416" w:rsidRPr="004576B2" w:rsidTr="00F76D68">
        <w:tc>
          <w:tcPr>
            <w:tcW w:w="740"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9</w:t>
            </w:r>
          </w:p>
        </w:tc>
        <w:tc>
          <w:tcPr>
            <w:tcW w:w="828" w:type="pct"/>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51</w:t>
            </w:r>
          </w:p>
        </w:tc>
        <w:tc>
          <w:tcPr>
            <w:tcW w:w="3432"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Information and cultural industries</w:t>
            </w:r>
          </w:p>
        </w:tc>
      </w:tr>
      <w:tr w:rsidR="00E97416" w:rsidRPr="004576B2" w:rsidTr="00F76D68">
        <w:tc>
          <w:tcPr>
            <w:tcW w:w="740"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10</w:t>
            </w:r>
          </w:p>
        </w:tc>
        <w:tc>
          <w:tcPr>
            <w:tcW w:w="828" w:type="pct"/>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52</w:t>
            </w:r>
          </w:p>
        </w:tc>
        <w:tc>
          <w:tcPr>
            <w:tcW w:w="3432"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Finance and insurance</w:t>
            </w:r>
          </w:p>
        </w:tc>
      </w:tr>
      <w:tr w:rsidR="00E97416" w:rsidRPr="00C40B75" w:rsidTr="00F76D68">
        <w:trPr>
          <w:trHeight w:val="324"/>
        </w:trPr>
        <w:tc>
          <w:tcPr>
            <w:tcW w:w="740"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11, 12</w:t>
            </w:r>
          </w:p>
        </w:tc>
        <w:tc>
          <w:tcPr>
            <w:tcW w:w="828" w:type="pct"/>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53 and 55</w:t>
            </w:r>
          </w:p>
        </w:tc>
        <w:tc>
          <w:tcPr>
            <w:tcW w:w="3432"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Real estate and rental and leasing; management of companies and enterprises</w:t>
            </w:r>
          </w:p>
        </w:tc>
      </w:tr>
      <w:tr w:rsidR="00E97416" w:rsidRPr="00C40B75" w:rsidTr="00F76D68">
        <w:tc>
          <w:tcPr>
            <w:tcW w:w="740"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13</w:t>
            </w:r>
          </w:p>
        </w:tc>
        <w:tc>
          <w:tcPr>
            <w:tcW w:w="828" w:type="pct"/>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54</w:t>
            </w:r>
          </w:p>
        </w:tc>
        <w:tc>
          <w:tcPr>
            <w:tcW w:w="3432"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Professional, scientific, and technical services</w:t>
            </w:r>
          </w:p>
        </w:tc>
      </w:tr>
      <w:tr w:rsidR="00E97416" w:rsidRPr="004576B2" w:rsidTr="00F76D68">
        <w:tc>
          <w:tcPr>
            <w:tcW w:w="740"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15</w:t>
            </w:r>
          </w:p>
        </w:tc>
        <w:tc>
          <w:tcPr>
            <w:tcW w:w="828" w:type="pct"/>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61</w:t>
            </w:r>
          </w:p>
        </w:tc>
        <w:tc>
          <w:tcPr>
            <w:tcW w:w="3432"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Educational services</w:t>
            </w:r>
          </w:p>
        </w:tc>
      </w:tr>
      <w:tr w:rsidR="00E97416" w:rsidRPr="00C40B75" w:rsidTr="00F76D68">
        <w:tc>
          <w:tcPr>
            <w:tcW w:w="740"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16</w:t>
            </w:r>
          </w:p>
        </w:tc>
        <w:tc>
          <w:tcPr>
            <w:tcW w:w="828" w:type="pct"/>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62</w:t>
            </w:r>
          </w:p>
        </w:tc>
        <w:tc>
          <w:tcPr>
            <w:tcW w:w="3432"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Health care and social assistance</w:t>
            </w:r>
          </w:p>
        </w:tc>
      </w:tr>
      <w:tr w:rsidR="00E97416" w:rsidRPr="004576B2" w:rsidTr="00F76D68">
        <w:tc>
          <w:tcPr>
            <w:tcW w:w="740"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17</w:t>
            </w:r>
          </w:p>
        </w:tc>
        <w:tc>
          <w:tcPr>
            <w:tcW w:w="828" w:type="pct"/>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71</w:t>
            </w:r>
          </w:p>
        </w:tc>
        <w:tc>
          <w:tcPr>
            <w:tcW w:w="3432"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Arts, entertainment, and recreation</w:t>
            </w:r>
          </w:p>
        </w:tc>
      </w:tr>
      <w:tr w:rsidR="00E97416" w:rsidRPr="004576B2" w:rsidTr="00F76D68">
        <w:tc>
          <w:tcPr>
            <w:tcW w:w="740"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18</w:t>
            </w:r>
          </w:p>
        </w:tc>
        <w:tc>
          <w:tcPr>
            <w:tcW w:w="828" w:type="pct"/>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72</w:t>
            </w:r>
          </w:p>
        </w:tc>
        <w:tc>
          <w:tcPr>
            <w:tcW w:w="3432"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Accommodation and food services</w:t>
            </w:r>
          </w:p>
        </w:tc>
      </w:tr>
      <w:tr w:rsidR="00E97416" w:rsidRPr="00C40B75" w:rsidTr="00F76D68">
        <w:tc>
          <w:tcPr>
            <w:tcW w:w="740"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19</w:t>
            </w:r>
          </w:p>
        </w:tc>
        <w:tc>
          <w:tcPr>
            <w:tcW w:w="828" w:type="pct"/>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81</w:t>
            </w:r>
          </w:p>
        </w:tc>
        <w:tc>
          <w:tcPr>
            <w:tcW w:w="3432"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Other services, except public administration</w:t>
            </w:r>
          </w:p>
        </w:tc>
      </w:tr>
      <w:tr w:rsidR="00E97416" w:rsidRPr="004576B2" w:rsidTr="00F76D68">
        <w:tc>
          <w:tcPr>
            <w:tcW w:w="740"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20</w:t>
            </w:r>
          </w:p>
        </w:tc>
        <w:tc>
          <w:tcPr>
            <w:tcW w:w="828" w:type="pct"/>
            <w:shd w:val="clear" w:color="auto" w:fill="auto"/>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93</w:t>
            </w:r>
          </w:p>
        </w:tc>
        <w:tc>
          <w:tcPr>
            <w:tcW w:w="3432"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Public administration</w:t>
            </w:r>
          </w:p>
        </w:tc>
      </w:tr>
    </w:tbl>
    <w:p w:rsidR="00E97416" w:rsidRPr="00E97416" w:rsidRDefault="00E97416" w:rsidP="00E97416">
      <w:pPr>
        <w:rPr>
          <w:rFonts w:ascii="Arial" w:eastAsia="Garamond" w:hAnsi="Arial"/>
          <w:sz w:val="18"/>
          <w:lang w:val="en-US"/>
        </w:rPr>
      </w:pPr>
      <w:r w:rsidRPr="00E97416">
        <w:rPr>
          <w:rFonts w:ascii="Arial" w:eastAsia="Garamond" w:hAnsi="Arial"/>
          <w:sz w:val="18"/>
          <w:lang w:val="en-US"/>
        </w:rPr>
        <w:t>Source: Authors’ elaboration based on information from ENOE and INEGI–KLEMS.</w:t>
      </w:r>
    </w:p>
    <w:p w:rsidR="00E97416" w:rsidRDefault="00E97416" w:rsidP="00E97416">
      <w:pPr>
        <w:suppressAutoHyphens/>
        <w:jc w:val="both"/>
        <w:rPr>
          <w:rFonts w:ascii="Garamond" w:eastAsia="Garamond" w:hAnsi="Garamond"/>
          <w:lang w:val="en-US"/>
        </w:rPr>
      </w:pPr>
    </w:p>
    <w:p w:rsidR="00E97416" w:rsidRDefault="00E97416" w:rsidP="00E97416">
      <w:pPr>
        <w:suppressAutoHyphens/>
        <w:ind w:firstLine="708"/>
        <w:jc w:val="both"/>
        <w:rPr>
          <w:rFonts w:ascii="Garamond" w:eastAsia="Garamond" w:hAnsi="Garamond"/>
          <w:lang w:val="en-US"/>
        </w:rPr>
      </w:pPr>
      <w:r w:rsidRPr="00E97416">
        <w:rPr>
          <w:rFonts w:ascii="Garamond" w:eastAsia="Garamond" w:hAnsi="Garamond"/>
          <w:lang w:val="en-US"/>
        </w:rPr>
        <w:t xml:space="preserve">To estimate the labor share in the private business sector several activities, mostly government-related, </w:t>
      </w:r>
      <w:proofErr w:type="gramStart"/>
      <w:r w:rsidRPr="00E97416">
        <w:rPr>
          <w:rFonts w:ascii="Garamond" w:eastAsia="Garamond" w:hAnsi="Garamond"/>
          <w:lang w:val="en-US"/>
        </w:rPr>
        <w:t>were excluded</w:t>
      </w:r>
      <w:proofErr w:type="gramEnd"/>
      <w:r w:rsidRPr="00E97416">
        <w:rPr>
          <w:rFonts w:ascii="Garamond" w:eastAsia="Garamond" w:hAnsi="Garamond"/>
          <w:lang w:val="en-US"/>
        </w:rPr>
        <w:t xml:space="preserve"> from the whole economy. The sectors excluded are 21 (Mining, quarrying, and oil and gas extraction), 22 (Utilities), 53 and 55 (Real estate and rental and leasing), 61 (Education services), 62 (Health care and social assistance), and 93 (Public administration). In addition, subsector 324 (Petroleum and coal products manufacturing) was subtracted from 31–33 (Manufacturing). The resulting private business sector has 11 activities (see Table A3). Once the series from the ENE </w:t>
      </w:r>
      <w:proofErr w:type="gramStart"/>
      <w:r w:rsidRPr="00E97416">
        <w:rPr>
          <w:rFonts w:ascii="Garamond" w:eastAsia="Garamond" w:hAnsi="Garamond"/>
          <w:lang w:val="en-US"/>
        </w:rPr>
        <w:t>was homologated</w:t>
      </w:r>
      <w:proofErr w:type="gramEnd"/>
      <w:r w:rsidRPr="00E97416">
        <w:rPr>
          <w:rFonts w:ascii="Garamond" w:eastAsia="Garamond" w:hAnsi="Garamond"/>
          <w:lang w:val="en-US"/>
        </w:rPr>
        <w:t>, the homologated 11-sector classification of INEGI (</w:t>
      </w:r>
      <w:proofErr w:type="spellStart"/>
      <w:r w:rsidRPr="00E97416">
        <w:rPr>
          <w:rFonts w:ascii="Garamond" w:eastAsia="Garamond" w:hAnsi="Garamond"/>
          <w:lang w:val="en-US"/>
        </w:rPr>
        <w:t>n.d.</w:t>
      </w:r>
      <w:proofErr w:type="spellEnd"/>
      <w:r w:rsidR="000C7BB5">
        <w:rPr>
          <w:rFonts w:ascii="Garamond" w:eastAsia="Garamond" w:hAnsi="Garamond"/>
          <w:lang w:val="en-US"/>
        </w:rPr>
        <w:t xml:space="preserve">, </w:t>
      </w:r>
      <w:r w:rsidRPr="00E97416">
        <w:rPr>
          <w:rFonts w:ascii="Garamond" w:eastAsia="Garamond" w:hAnsi="Garamond"/>
          <w:lang w:val="en-US"/>
        </w:rPr>
        <w:t>c) was used to calibrate (using the variable RAMA_EST2) and verify that there were no missing data. This c</w:t>
      </w:r>
      <w:r>
        <w:rPr>
          <w:rFonts w:ascii="Garamond" w:eastAsia="Garamond" w:hAnsi="Garamond"/>
          <w:lang w:val="en-US"/>
        </w:rPr>
        <w:t xml:space="preserve">lassification </w:t>
      </w:r>
      <w:proofErr w:type="gramStart"/>
      <w:r>
        <w:rPr>
          <w:rFonts w:ascii="Garamond" w:eastAsia="Garamond" w:hAnsi="Garamond"/>
          <w:lang w:val="en-US"/>
        </w:rPr>
        <w:t>is shown</w:t>
      </w:r>
      <w:proofErr w:type="gramEnd"/>
      <w:r>
        <w:rPr>
          <w:rFonts w:ascii="Garamond" w:eastAsia="Garamond" w:hAnsi="Garamond"/>
          <w:lang w:val="en-US"/>
        </w:rPr>
        <w:t xml:space="preserve"> in </w:t>
      </w:r>
      <w:r w:rsidRPr="00E97416">
        <w:rPr>
          <w:rFonts w:ascii="Garamond" w:eastAsia="Garamond" w:hAnsi="Garamond"/>
          <w:lang w:val="en-US"/>
        </w:rPr>
        <w:t>Table A4.</w:t>
      </w:r>
    </w:p>
    <w:p w:rsidR="00E97416" w:rsidRDefault="00E97416" w:rsidP="00E97416">
      <w:pPr>
        <w:suppressAutoHyphens/>
        <w:jc w:val="both"/>
        <w:rPr>
          <w:rFonts w:ascii="Garamond" w:eastAsia="Garamond" w:hAnsi="Garamond"/>
          <w:lang w:val="en-US"/>
        </w:rPr>
      </w:pPr>
    </w:p>
    <w:p w:rsidR="00F862A8" w:rsidRPr="00E97416" w:rsidRDefault="00F862A8" w:rsidP="00E97416">
      <w:pPr>
        <w:suppressAutoHyphens/>
        <w:jc w:val="both"/>
        <w:rPr>
          <w:rFonts w:ascii="Garamond" w:eastAsia="Garamond" w:hAnsi="Garamond"/>
          <w:lang w:val="en-US"/>
        </w:rPr>
      </w:pPr>
    </w:p>
    <w:p w:rsidR="00E97416" w:rsidRPr="00E97416" w:rsidRDefault="00E97416" w:rsidP="00E97416">
      <w:pPr>
        <w:rPr>
          <w:rFonts w:ascii="Arial" w:eastAsia="Garamond" w:hAnsi="Arial"/>
          <w:sz w:val="18"/>
          <w:lang w:val="en-US"/>
        </w:rPr>
      </w:pPr>
      <w:r w:rsidRPr="00E97416">
        <w:rPr>
          <w:rFonts w:ascii="Arial" w:eastAsia="Garamond" w:hAnsi="Arial"/>
          <w:sz w:val="18"/>
          <w:lang w:val="en-US"/>
        </w:rPr>
        <w:t>Table A3: Economic activities of the private business sector</w:t>
      </w:r>
    </w:p>
    <w:tbl>
      <w:tblPr>
        <w:tblW w:w="5000" w:type="pct"/>
        <w:tblBorders>
          <w:top w:val="single" w:sz="4" w:space="0" w:color="auto"/>
          <w:bottom w:val="single" w:sz="4" w:space="0" w:color="auto"/>
        </w:tblBorders>
        <w:tblLook w:val="04A0" w:firstRow="1" w:lastRow="0" w:firstColumn="1" w:lastColumn="0" w:noHBand="0" w:noVBand="1"/>
      </w:tblPr>
      <w:tblGrid>
        <w:gridCol w:w="1536"/>
        <w:gridCol w:w="7490"/>
      </w:tblGrid>
      <w:tr w:rsidR="00E97416" w:rsidRPr="004576B2" w:rsidTr="00F76D68">
        <w:trPr>
          <w:cantSplit/>
        </w:trPr>
        <w:tc>
          <w:tcPr>
            <w:tcW w:w="851" w:type="pct"/>
            <w:tcBorders>
              <w:top w:val="single" w:sz="4" w:space="0" w:color="auto"/>
              <w:bottom w:val="single" w:sz="4" w:space="0" w:color="auto"/>
            </w:tcBorders>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SCIAN-KLEMS</w:t>
            </w:r>
          </w:p>
        </w:tc>
        <w:tc>
          <w:tcPr>
            <w:tcW w:w="4149" w:type="pct"/>
            <w:tcBorders>
              <w:top w:val="single" w:sz="4" w:space="0" w:color="auto"/>
              <w:bottom w:val="single" w:sz="4" w:space="0" w:color="auto"/>
            </w:tcBorders>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Sector</w:t>
            </w:r>
          </w:p>
        </w:tc>
      </w:tr>
      <w:tr w:rsidR="00E97416" w:rsidRPr="00C40B75" w:rsidTr="00F76D68">
        <w:trPr>
          <w:cantSplit/>
        </w:trPr>
        <w:tc>
          <w:tcPr>
            <w:tcW w:w="851" w:type="pct"/>
            <w:tcBorders>
              <w:top w:val="single" w:sz="4" w:space="0" w:color="auto"/>
            </w:tcBorders>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11</w:t>
            </w:r>
          </w:p>
        </w:tc>
        <w:tc>
          <w:tcPr>
            <w:tcW w:w="4149" w:type="pct"/>
            <w:tcBorders>
              <w:top w:val="single" w:sz="4" w:space="0" w:color="auto"/>
            </w:tcBorders>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Agriculture, forestry, fishing, and hunting</w:t>
            </w:r>
          </w:p>
        </w:tc>
      </w:tr>
      <w:tr w:rsidR="00E97416" w:rsidRPr="004576B2" w:rsidTr="00F76D68">
        <w:trPr>
          <w:cantSplit/>
        </w:trPr>
        <w:tc>
          <w:tcPr>
            <w:tcW w:w="851"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23</w:t>
            </w:r>
          </w:p>
        </w:tc>
        <w:tc>
          <w:tcPr>
            <w:tcW w:w="4149"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Construction</w:t>
            </w:r>
          </w:p>
        </w:tc>
      </w:tr>
      <w:tr w:rsidR="00E97416" w:rsidRPr="00C40B75" w:rsidTr="00F76D68">
        <w:trPr>
          <w:cantSplit/>
        </w:trPr>
        <w:tc>
          <w:tcPr>
            <w:tcW w:w="851"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31–33</w:t>
            </w:r>
          </w:p>
        </w:tc>
        <w:tc>
          <w:tcPr>
            <w:tcW w:w="4149"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 xml:space="preserve">Manufacturing (less subsector 324, </w:t>
            </w:r>
            <w:r w:rsidRPr="00E97416">
              <w:rPr>
                <w:rFonts w:ascii="Arial" w:eastAsia="Garamond" w:hAnsi="Arial"/>
                <w:bCs/>
                <w:sz w:val="18"/>
                <w:lang w:val="en-US"/>
              </w:rPr>
              <w:t>Petroleum and coal products manufacturing)</w:t>
            </w:r>
          </w:p>
        </w:tc>
      </w:tr>
      <w:tr w:rsidR="00E97416" w:rsidRPr="004576B2" w:rsidTr="00F76D68">
        <w:trPr>
          <w:cantSplit/>
        </w:trPr>
        <w:tc>
          <w:tcPr>
            <w:tcW w:w="851"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43 and 46</w:t>
            </w:r>
          </w:p>
        </w:tc>
        <w:tc>
          <w:tcPr>
            <w:tcW w:w="4149"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Commerce</w:t>
            </w:r>
          </w:p>
        </w:tc>
      </w:tr>
      <w:tr w:rsidR="00E97416" w:rsidRPr="004576B2" w:rsidTr="00F76D68">
        <w:trPr>
          <w:cantSplit/>
        </w:trPr>
        <w:tc>
          <w:tcPr>
            <w:tcW w:w="851"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48–49</w:t>
            </w:r>
          </w:p>
        </w:tc>
        <w:tc>
          <w:tcPr>
            <w:tcW w:w="4149"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Transportation and warehousing</w:t>
            </w:r>
          </w:p>
        </w:tc>
      </w:tr>
      <w:tr w:rsidR="00E97416" w:rsidRPr="004576B2" w:rsidTr="00F76D68">
        <w:trPr>
          <w:cantSplit/>
        </w:trPr>
        <w:tc>
          <w:tcPr>
            <w:tcW w:w="851"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51</w:t>
            </w:r>
          </w:p>
        </w:tc>
        <w:tc>
          <w:tcPr>
            <w:tcW w:w="4149"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 xml:space="preserve">Information </w:t>
            </w:r>
          </w:p>
        </w:tc>
      </w:tr>
      <w:tr w:rsidR="00E97416" w:rsidRPr="004576B2" w:rsidTr="00F76D68">
        <w:trPr>
          <w:cantSplit/>
        </w:trPr>
        <w:tc>
          <w:tcPr>
            <w:tcW w:w="851"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52</w:t>
            </w:r>
          </w:p>
        </w:tc>
        <w:tc>
          <w:tcPr>
            <w:tcW w:w="4149"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Finance and insurance</w:t>
            </w:r>
          </w:p>
        </w:tc>
      </w:tr>
      <w:tr w:rsidR="00E97416" w:rsidRPr="00C40B75" w:rsidTr="00F76D68">
        <w:trPr>
          <w:cantSplit/>
        </w:trPr>
        <w:tc>
          <w:tcPr>
            <w:tcW w:w="851"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54</w:t>
            </w:r>
          </w:p>
        </w:tc>
        <w:tc>
          <w:tcPr>
            <w:tcW w:w="4149"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Professional, scientific, and technical services</w:t>
            </w:r>
          </w:p>
        </w:tc>
      </w:tr>
      <w:tr w:rsidR="00E97416" w:rsidRPr="004576B2" w:rsidTr="00F76D68">
        <w:trPr>
          <w:cantSplit/>
        </w:trPr>
        <w:tc>
          <w:tcPr>
            <w:tcW w:w="851"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71</w:t>
            </w:r>
          </w:p>
        </w:tc>
        <w:tc>
          <w:tcPr>
            <w:tcW w:w="4149"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Arts, entertainment, and recreation</w:t>
            </w:r>
          </w:p>
        </w:tc>
      </w:tr>
      <w:tr w:rsidR="00E97416" w:rsidRPr="004576B2" w:rsidTr="00F76D68">
        <w:trPr>
          <w:cantSplit/>
        </w:trPr>
        <w:tc>
          <w:tcPr>
            <w:tcW w:w="851"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72</w:t>
            </w:r>
          </w:p>
        </w:tc>
        <w:tc>
          <w:tcPr>
            <w:tcW w:w="4149"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Accommodation and food services</w:t>
            </w:r>
          </w:p>
        </w:tc>
      </w:tr>
      <w:tr w:rsidR="00E97416" w:rsidRPr="00C40B75" w:rsidTr="00F76D68">
        <w:trPr>
          <w:cantSplit/>
        </w:trPr>
        <w:tc>
          <w:tcPr>
            <w:tcW w:w="851"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81</w:t>
            </w:r>
          </w:p>
        </w:tc>
        <w:tc>
          <w:tcPr>
            <w:tcW w:w="4149" w:type="pct"/>
            <w:shd w:val="clear" w:color="auto" w:fill="auto"/>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Other services, except public administration</w:t>
            </w:r>
          </w:p>
        </w:tc>
      </w:tr>
    </w:tbl>
    <w:p w:rsidR="00E97416" w:rsidRPr="00E97416" w:rsidRDefault="00E97416" w:rsidP="00E97416">
      <w:pPr>
        <w:rPr>
          <w:rFonts w:ascii="Arial" w:eastAsia="Garamond" w:hAnsi="Arial"/>
          <w:sz w:val="18"/>
          <w:lang w:val="en-US"/>
        </w:rPr>
      </w:pPr>
      <w:r w:rsidRPr="00E97416">
        <w:rPr>
          <w:rFonts w:ascii="Arial" w:eastAsia="Garamond" w:hAnsi="Arial"/>
          <w:sz w:val="18"/>
          <w:lang w:val="en-US"/>
        </w:rPr>
        <w:t xml:space="preserve">Source: Authors’ elaboration </w:t>
      </w:r>
      <w:r>
        <w:rPr>
          <w:rFonts w:ascii="Arial" w:eastAsia="Garamond" w:hAnsi="Arial"/>
          <w:sz w:val="18"/>
          <w:lang w:val="en-US"/>
        </w:rPr>
        <w:t>based on information from INEGI</w:t>
      </w:r>
      <w:r w:rsidRPr="00E97416">
        <w:rPr>
          <w:rFonts w:ascii="Arial" w:eastAsia="Garamond" w:hAnsi="Arial"/>
          <w:sz w:val="18"/>
          <w:lang w:val="en-US"/>
        </w:rPr>
        <w:t>–</w:t>
      </w:r>
      <w:r>
        <w:rPr>
          <w:rFonts w:ascii="Arial" w:eastAsia="Garamond" w:hAnsi="Arial"/>
          <w:sz w:val="18"/>
          <w:lang w:val="en-US"/>
        </w:rPr>
        <w:t>KLEM</w:t>
      </w:r>
      <w:r w:rsidRPr="00E97416">
        <w:rPr>
          <w:rFonts w:ascii="Arial" w:eastAsia="Garamond" w:hAnsi="Arial"/>
          <w:sz w:val="18"/>
          <w:lang w:val="en-US"/>
        </w:rPr>
        <w:t>S.</w:t>
      </w:r>
    </w:p>
    <w:p w:rsidR="00E97416" w:rsidRDefault="00E97416" w:rsidP="00E97416">
      <w:pPr>
        <w:rPr>
          <w:rFonts w:ascii="Arial" w:eastAsia="Garamond" w:hAnsi="Arial"/>
          <w:sz w:val="18"/>
          <w:lang w:val="en-US"/>
        </w:rPr>
      </w:pPr>
    </w:p>
    <w:p w:rsidR="006111BC" w:rsidRDefault="006111BC" w:rsidP="00E97416">
      <w:pPr>
        <w:rPr>
          <w:rFonts w:ascii="Arial" w:eastAsia="Garamond" w:hAnsi="Arial"/>
          <w:sz w:val="18"/>
          <w:lang w:val="en-US"/>
        </w:rPr>
      </w:pPr>
    </w:p>
    <w:p w:rsidR="00C40B75" w:rsidRDefault="00C40B75" w:rsidP="00E97416">
      <w:pPr>
        <w:rPr>
          <w:rFonts w:ascii="Arial" w:eastAsia="Garamond" w:hAnsi="Arial"/>
          <w:sz w:val="18"/>
          <w:lang w:val="en-US"/>
        </w:rPr>
      </w:pPr>
    </w:p>
    <w:p w:rsidR="00C40B75" w:rsidRDefault="00C40B75" w:rsidP="00E97416">
      <w:pPr>
        <w:rPr>
          <w:rFonts w:ascii="Arial" w:eastAsia="Garamond" w:hAnsi="Arial"/>
          <w:sz w:val="18"/>
          <w:lang w:val="en-US"/>
        </w:rPr>
      </w:pPr>
    </w:p>
    <w:p w:rsidR="00E97416" w:rsidRPr="00E97416" w:rsidRDefault="00E97416" w:rsidP="00E97416">
      <w:pPr>
        <w:rPr>
          <w:rFonts w:ascii="Arial" w:eastAsia="Garamond" w:hAnsi="Arial"/>
          <w:sz w:val="18"/>
          <w:lang w:val="en-US"/>
        </w:rPr>
      </w:pPr>
    </w:p>
    <w:p w:rsidR="00E97416" w:rsidRPr="00E97416" w:rsidRDefault="00E97416" w:rsidP="00E97416">
      <w:pPr>
        <w:rPr>
          <w:rFonts w:ascii="Arial" w:eastAsia="Garamond" w:hAnsi="Arial"/>
          <w:sz w:val="18"/>
          <w:lang w:val="en-US"/>
        </w:rPr>
      </w:pPr>
      <w:r w:rsidRPr="00E97416">
        <w:rPr>
          <w:rFonts w:ascii="Arial" w:eastAsia="Garamond" w:hAnsi="Arial"/>
          <w:sz w:val="18"/>
          <w:lang w:val="en-US"/>
        </w:rPr>
        <w:lastRenderedPageBreak/>
        <w:t>Table A4: Classification of economic sectors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3870"/>
        <w:gridCol w:w="450"/>
        <w:gridCol w:w="3734"/>
      </w:tblGrid>
      <w:tr w:rsidR="00E97416" w:rsidRPr="004576B2" w:rsidTr="00F76D68">
        <w:tc>
          <w:tcPr>
            <w:tcW w:w="5058" w:type="dxa"/>
            <w:gridSpan w:val="2"/>
            <w:tcBorders>
              <w:top w:val="single" w:sz="4" w:space="0" w:color="auto"/>
              <w:left w:val="nil"/>
              <w:bottom w:val="single" w:sz="4" w:space="0" w:color="auto"/>
              <w:right w:val="nil"/>
            </w:tcBorders>
          </w:tcPr>
          <w:p w:rsidR="00E97416" w:rsidRPr="00E97416" w:rsidRDefault="00E97416" w:rsidP="00E97416">
            <w:pPr>
              <w:suppressAutoHyphens/>
              <w:jc w:val="center"/>
              <w:rPr>
                <w:rFonts w:ascii="Arial" w:eastAsia="Garamond" w:hAnsi="Arial"/>
                <w:sz w:val="18"/>
                <w:lang w:val="en-US"/>
              </w:rPr>
            </w:pPr>
            <w:r>
              <w:rPr>
                <w:rFonts w:ascii="Arial" w:eastAsia="Garamond" w:hAnsi="Arial"/>
                <w:sz w:val="18"/>
                <w:lang w:val="en-US"/>
              </w:rPr>
              <w:t>SCIAN</w:t>
            </w:r>
            <w:r w:rsidRPr="00E97416">
              <w:rPr>
                <w:rFonts w:ascii="Arial" w:eastAsia="Garamond" w:hAnsi="Arial"/>
                <w:sz w:val="18"/>
                <w:lang w:val="en-US"/>
              </w:rPr>
              <w:t>–ENE</w:t>
            </w:r>
          </w:p>
        </w:tc>
        <w:tc>
          <w:tcPr>
            <w:tcW w:w="4184" w:type="dxa"/>
            <w:gridSpan w:val="2"/>
            <w:tcBorders>
              <w:top w:val="single" w:sz="4" w:space="0" w:color="auto"/>
              <w:left w:val="nil"/>
              <w:bottom w:val="single" w:sz="4" w:space="0" w:color="auto"/>
              <w:right w:val="nil"/>
            </w:tcBorders>
          </w:tcPr>
          <w:p w:rsidR="00E97416" w:rsidRPr="00E97416" w:rsidRDefault="00E97416" w:rsidP="00E97416">
            <w:pPr>
              <w:suppressAutoHyphens/>
              <w:jc w:val="center"/>
              <w:rPr>
                <w:rFonts w:ascii="Arial" w:eastAsia="Garamond" w:hAnsi="Arial"/>
                <w:sz w:val="18"/>
                <w:lang w:val="en-US"/>
              </w:rPr>
            </w:pPr>
            <w:r w:rsidRPr="00E97416">
              <w:rPr>
                <w:rFonts w:ascii="Arial" w:eastAsia="Garamond" w:hAnsi="Arial"/>
                <w:sz w:val="18"/>
                <w:lang w:val="en-US"/>
              </w:rPr>
              <w:t>Classification used to calibrate</w:t>
            </w:r>
          </w:p>
        </w:tc>
      </w:tr>
      <w:tr w:rsidR="00E97416" w:rsidRPr="00C40B75" w:rsidTr="00F76D68">
        <w:tc>
          <w:tcPr>
            <w:tcW w:w="1188" w:type="dxa"/>
            <w:tcBorders>
              <w:top w:val="single" w:sz="4" w:space="0" w:color="auto"/>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11</w:t>
            </w:r>
          </w:p>
        </w:tc>
        <w:tc>
          <w:tcPr>
            <w:tcW w:w="3870" w:type="dxa"/>
            <w:tcBorders>
              <w:top w:val="single" w:sz="4" w:space="0" w:color="auto"/>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Agriculture, forestry, fishing, and hunting</w:t>
            </w:r>
          </w:p>
        </w:tc>
        <w:tc>
          <w:tcPr>
            <w:tcW w:w="450" w:type="dxa"/>
            <w:tcBorders>
              <w:top w:val="single" w:sz="4" w:space="0" w:color="auto"/>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1</w:t>
            </w:r>
          </w:p>
        </w:tc>
        <w:tc>
          <w:tcPr>
            <w:tcW w:w="3734" w:type="dxa"/>
            <w:tcBorders>
              <w:top w:val="single" w:sz="4" w:space="0" w:color="auto"/>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Agriculture, forestry, fishing, and hunting</w:t>
            </w:r>
          </w:p>
        </w:tc>
      </w:tr>
      <w:tr w:rsidR="00E97416" w:rsidRPr="00C40B75" w:rsidTr="00F76D68">
        <w:tc>
          <w:tcPr>
            <w:tcW w:w="1188"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21</w:t>
            </w:r>
          </w:p>
        </w:tc>
        <w:tc>
          <w:tcPr>
            <w:tcW w:w="3870"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Mining, quarrying, and oil and gas extraction</w:t>
            </w:r>
          </w:p>
        </w:tc>
        <w:tc>
          <w:tcPr>
            <w:tcW w:w="450" w:type="dxa"/>
            <w:vMerge w:val="restart"/>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2</w:t>
            </w:r>
          </w:p>
        </w:tc>
        <w:tc>
          <w:tcPr>
            <w:tcW w:w="3734" w:type="dxa"/>
            <w:vMerge w:val="restart"/>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Mining, quarrying, and oil and gas extraction and utilities</w:t>
            </w:r>
          </w:p>
        </w:tc>
      </w:tr>
      <w:tr w:rsidR="00E97416" w:rsidRPr="004576B2" w:rsidTr="00F76D68">
        <w:tc>
          <w:tcPr>
            <w:tcW w:w="1188"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22</w:t>
            </w:r>
          </w:p>
        </w:tc>
        <w:tc>
          <w:tcPr>
            <w:tcW w:w="3870"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Utilities</w:t>
            </w:r>
          </w:p>
        </w:tc>
        <w:tc>
          <w:tcPr>
            <w:tcW w:w="450" w:type="dxa"/>
            <w:vMerge/>
            <w:tcBorders>
              <w:top w:val="nil"/>
              <w:left w:val="nil"/>
              <w:bottom w:val="nil"/>
              <w:right w:val="nil"/>
            </w:tcBorders>
          </w:tcPr>
          <w:p w:rsidR="00E97416" w:rsidRPr="00E97416" w:rsidRDefault="00E97416" w:rsidP="00E97416">
            <w:pPr>
              <w:suppressAutoHyphens/>
              <w:rPr>
                <w:rFonts w:ascii="Arial" w:eastAsia="Garamond" w:hAnsi="Arial"/>
                <w:sz w:val="18"/>
                <w:lang w:val="en-US"/>
              </w:rPr>
            </w:pPr>
          </w:p>
        </w:tc>
        <w:tc>
          <w:tcPr>
            <w:tcW w:w="3734" w:type="dxa"/>
            <w:vMerge/>
            <w:tcBorders>
              <w:top w:val="nil"/>
              <w:left w:val="nil"/>
              <w:bottom w:val="nil"/>
              <w:right w:val="nil"/>
            </w:tcBorders>
          </w:tcPr>
          <w:p w:rsidR="00E97416" w:rsidRPr="00E97416" w:rsidRDefault="00E97416" w:rsidP="00E97416">
            <w:pPr>
              <w:suppressAutoHyphens/>
              <w:rPr>
                <w:rFonts w:ascii="Arial" w:eastAsia="Garamond" w:hAnsi="Arial"/>
                <w:sz w:val="18"/>
                <w:lang w:val="en-US"/>
              </w:rPr>
            </w:pPr>
          </w:p>
        </w:tc>
      </w:tr>
      <w:tr w:rsidR="00E97416" w:rsidRPr="004576B2" w:rsidTr="00F76D68">
        <w:tc>
          <w:tcPr>
            <w:tcW w:w="1188"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23</w:t>
            </w:r>
          </w:p>
        </w:tc>
        <w:tc>
          <w:tcPr>
            <w:tcW w:w="3870"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Construction</w:t>
            </w:r>
          </w:p>
        </w:tc>
        <w:tc>
          <w:tcPr>
            <w:tcW w:w="450"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4</w:t>
            </w:r>
          </w:p>
        </w:tc>
        <w:tc>
          <w:tcPr>
            <w:tcW w:w="3734"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Construction</w:t>
            </w:r>
          </w:p>
        </w:tc>
      </w:tr>
      <w:tr w:rsidR="00E97416" w:rsidRPr="004576B2" w:rsidTr="00F76D68">
        <w:tc>
          <w:tcPr>
            <w:tcW w:w="1188"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31–33</w:t>
            </w:r>
          </w:p>
        </w:tc>
        <w:tc>
          <w:tcPr>
            <w:tcW w:w="3870"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Manufacturing</w:t>
            </w:r>
          </w:p>
        </w:tc>
        <w:tc>
          <w:tcPr>
            <w:tcW w:w="450"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3</w:t>
            </w:r>
          </w:p>
        </w:tc>
        <w:tc>
          <w:tcPr>
            <w:tcW w:w="3734"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Manufacturing</w:t>
            </w:r>
          </w:p>
        </w:tc>
      </w:tr>
      <w:tr w:rsidR="00E97416" w:rsidRPr="004576B2" w:rsidTr="00F76D68">
        <w:tc>
          <w:tcPr>
            <w:tcW w:w="1188"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43 and 46</w:t>
            </w:r>
          </w:p>
        </w:tc>
        <w:tc>
          <w:tcPr>
            <w:tcW w:w="3870"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Wholesale trade and retail trade</w:t>
            </w:r>
          </w:p>
        </w:tc>
        <w:tc>
          <w:tcPr>
            <w:tcW w:w="450"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6</w:t>
            </w:r>
          </w:p>
        </w:tc>
        <w:tc>
          <w:tcPr>
            <w:tcW w:w="3734"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 xml:space="preserve">Commerce </w:t>
            </w:r>
          </w:p>
        </w:tc>
      </w:tr>
      <w:tr w:rsidR="00E97416" w:rsidRPr="00C40B75" w:rsidTr="00F76D68">
        <w:tc>
          <w:tcPr>
            <w:tcW w:w="1188"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48–49</w:t>
            </w:r>
          </w:p>
        </w:tc>
        <w:tc>
          <w:tcPr>
            <w:tcW w:w="3870"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Transportation and warehousing</w:t>
            </w:r>
          </w:p>
        </w:tc>
        <w:tc>
          <w:tcPr>
            <w:tcW w:w="450" w:type="dxa"/>
            <w:vMerge w:val="restart"/>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7</w:t>
            </w:r>
          </w:p>
        </w:tc>
        <w:tc>
          <w:tcPr>
            <w:tcW w:w="3734" w:type="dxa"/>
            <w:vMerge w:val="restart"/>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Transportation and warehousing and information and cultural industries</w:t>
            </w:r>
          </w:p>
        </w:tc>
      </w:tr>
      <w:tr w:rsidR="00E97416" w:rsidRPr="004576B2" w:rsidTr="00F76D68">
        <w:tc>
          <w:tcPr>
            <w:tcW w:w="1188"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51</w:t>
            </w:r>
          </w:p>
        </w:tc>
        <w:tc>
          <w:tcPr>
            <w:tcW w:w="3870"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Information and cultural industries</w:t>
            </w:r>
          </w:p>
        </w:tc>
        <w:tc>
          <w:tcPr>
            <w:tcW w:w="450" w:type="dxa"/>
            <w:vMerge/>
            <w:tcBorders>
              <w:top w:val="nil"/>
              <w:left w:val="nil"/>
              <w:bottom w:val="nil"/>
              <w:right w:val="nil"/>
            </w:tcBorders>
          </w:tcPr>
          <w:p w:rsidR="00E97416" w:rsidRPr="00E97416" w:rsidRDefault="00E97416" w:rsidP="00E97416">
            <w:pPr>
              <w:suppressAutoHyphens/>
              <w:rPr>
                <w:rFonts w:ascii="Arial" w:eastAsia="Garamond" w:hAnsi="Arial"/>
                <w:sz w:val="18"/>
                <w:lang w:val="en-US"/>
              </w:rPr>
            </w:pPr>
          </w:p>
        </w:tc>
        <w:tc>
          <w:tcPr>
            <w:tcW w:w="3734" w:type="dxa"/>
            <w:vMerge/>
            <w:tcBorders>
              <w:top w:val="nil"/>
              <w:left w:val="nil"/>
              <w:bottom w:val="nil"/>
              <w:right w:val="nil"/>
            </w:tcBorders>
          </w:tcPr>
          <w:p w:rsidR="00E97416" w:rsidRPr="00E97416" w:rsidRDefault="00E97416" w:rsidP="00E97416">
            <w:pPr>
              <w:suppressAutoHyphens/>
              <w:rPr>
                <w:rFonts w:ascii="Arial" w:eastAsia="Garamond" w:hAnsi="Arial"/>
                <w:sz w:val="18"/>
                <w:lang w:val="en-US"/>
              </w:rPr>
            </w:pPr>
          </w:p>
        </w:tc>
      </w:tr>
      <w:tr w:rsidR="00E97416" w:rsidRPr="00C40B75" w:rsidTr="00F76D68">
        <w:tc>
          <w:tcPr>
            <w:tcW w:w="1188"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52</w:t>
            </w:r>
          </w:p>
        </w:tc>
        <w:tc>
          <w:tcPr>
            <w:tcW w:w="3870"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Finance and insurance</w:t>
            </w:r>
          </w:p>
        </w:tc>
        <w:tc>
          <w:tcPr>
            <w:tcW w:w="450" w:type="dxa"/>
            <w:vMerge w:val="restart"/>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8</w:t>
            </w:r>
          </w:p>
        </w:tc>
        <w:tc>
          <w:tcPr>
            <w:tcW w:w="3734" w:type="dxa"/>
            <w:vMerge w:val="restart"/>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Finance and insurance; professional, scientific, and technical service; real estate and rental leasing and management of companies and enterprises; and administrative and support, waste management and remediation services</w:t>
            </w:r>
          </w:p>
        </w:tc>
      </w:tr>
      <w:tr w:rsidR="00E97416" w:rsidRPr="00C40B75" w:rsidTr="00F76D68">
        <w:tc>
          <w:tcPr>
            <w:tcW w:w="1188"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53 and 55</w:t>
            </w:r>
          </w:p>
        </w:tc>
        <w:tc>
          <w:tcPr>
            <w:tcW w:w="3870"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Real estate and rental and leasing; management of companies and enterprises</w:t>
            </w:r>
          </w:p>
        </w:tc>
        <w:tc>
          <w:tcPr>
            <w:tcW w:w="450" w:type="dxa"/>
            <w:vMerge/>
            <w:tcBorders>
              <w:top w:val="nil"/>
              <w:left w:val="nil"/>
              <w:bottom w:val="nil"/>
              <w:right w:val="nil"/>
            </w:tcBorders>
          </w:tcPr>
          <w:p w:rsidR="00E97416" w:rsidRPr="00E97416" w:rsidRDefault="00E97416" w:rsidP="00E97416">
            <w:pPr>
              <w:suppressAutoHyphens/>
              <w:rPr>
                <w:rFonts w:ascii="Arial" w:eastAsia="Garamond" w:hAnsi="Arial"/>
                <w:sz w:val="18"/>
                <w:lang w:val="en-US"/>
              </w:rPr>
            </w:pPr>
          </w:p>
        </w:tc>
        <w:tc>
          <w:tcPr>
            <w:tcW w:w="3734" w:type="dxa"/>
            <w:vMerge/>
            <w:tcBorders>
              <w:top w:val="nil"/>
              <w:left w:val="nil"/>
              <w:bottom w:val="nil"/>
              <w:right w:val="nil"/>
            </w:tcBorders>
          </w:tcPr>
          <w:p w:rsidR="00E97416" w:rsidRPr="00E97416" w:rsidRDefault="00E97416" w:rsidP="00E97416">
            <w:pPr>
              <w:suppressAutoHyphens/>
              <w:rPr>
                <w:rFonts w:ascii="Arial" w:eastAsia="Garamond" w:hAnsi="Arial"/>
                <w:sz w:val="18"/>
                <w:lang w:val="en-US"/>
              </w:rPr>
            </w:pPr>
          </w:p>
        </w:tc>
      </w:tr>
      <w:tr w:rsidR="00E97416" w:rsidRPr="00C40B75" w:rsidTr="00F76D68">
        <w:tc>
          <w:tcPr>
            <w:tcW w:w="1188"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54</w:t>
            </w:r>
          </w:p>
        </w:tc>
        <w:tc>
          <w:tcPr>
            <w:tcW w:w="3870"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Professional, scientific, and technical services</w:t>
            </w:r>
          </w:p>
        </w:tc>
        <w:tc>
          <w:tcPr>
            <w:tcW w:w="450" w:type="dxa"/>
            <w:vMerge/>
            <w:tcBorders>
              <w:top w:val="nil"/>
              <w:left w:val="nil"/>
              <w:bottom w:val="nil"/>
              <w:right w:val="nil"/>
            </w:tcBorders>
          </w:tcPr>
          <w:p w:rsidR="00E97416" w:rsidRPr="00E97416" w:rsidRDefault="00E97416" w:rsidP="00E97416">
            <w:pPr>
              <w:suppressAutoHyphens/>
              <w:rPr>
                <w:rFonts w:ascii="Arial" w:eastAsia="Garamond" w:hAnsi="Arial"/>
                <w:sz w:val="18"/>
                <w:lang w:val="en-US"/>
              </w:rPr>
            </w:pPr>
          </w:p>
        </w:tc>
        <w:tc>
          <w:tcPr>
            <w:tcW w:w="3734" w:type="dxa"/>
            <w:vMerge/>
            <w:tcBorders>
              <w:top w:val="nil"/>
              <w:left w:val="nil"/>
              <w:bottom w:val="nil"/>
              <w:right w:val="nil"/>
            </w:tcBorders>
          </w:tcPr>
          <w:p w:rsidR="00E97416" w:rsidRPr="00E97416" w:rsidRDefault="00E97416" w:rsidP="00E97416">
            <w:pPr>
              <w:suppressAutoHyphens/>
              <w:rPr>
                <w:rFonts w:ascii="Arial" w:eastAsia="Garamond" w:hAnsi="Arial"/>
                <w:sz w:val="18"/>
                <w:lang w:val="en-US"/>
              </w:rPr>
            </w:pPr>
          </w:p>
        </w:tc>
      </w:tr>
      <w:tr w:rsidR="00E97416" w:rsidRPr="00C40B75" w:rsidTr="00F76D68">
        <w:tc>
          <w:tcPr>
            <w:tcW w:w="1188"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56</w:t>
            </w:r>
          </w:p>
        </w:tc>
        <w:tc>
          <w:tcPr>
            <w:tcW w:w="3870"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Administrative and support, waste management and remediation services</w:t>
            </w:r>
          </w:p>
        </w:tc>
        <w:tc>
          <w:tcPr>
            <w:tcW w:w="450" w:type="dxa"/>
            <w:vMerge/>
            <w:tcBorders>
              <w:top w:val="nil"/>
              <w:left w:val="nil"/>
              <w:bottom w:val="nil"/>
              <w:right w:val="nil"/>
            </w:tcBorders>
          </w:tcPr>
          <w:p w:rsidR="00E97416" w:rsidRPr="00E97416" w:rsidRDefault="00E97416" w:rsidP="00E97416">
            <w:pPr>
              <w:suppressAutoHyphens/>
              <w:rPr>
                <w:rFonts w:ascii="Arial" w:eastAsia="Garamond" w:hAnsi="Arial"/>
                <w:sz w:val="18"/>
                <w:lang w:val="en-US"/>
              </w:rPr>
            </w:pPr>
          </w:p>
        </w:tc>
        <w:tc>
          <w:tcPr>
            <w:tcW w:w="3734" w:type="dxa"/>
            <w:vMerge/>
            <w:tcBorders>
              <w:top w:val="nil"/>
              <w:left w:val="nil"/>
              <w:bottom w:val="nil"/>
              <w:right w:val="nil"/>
            </w:tcBorders>
          </w:tcPr>
          <w:p w:rsidR="00E97416" w:rsidRPr="00E97416" w:rsidRDefault="00E97416" w:rsidP="00E97416">
            <w:pPr>
              <w:suppressAutoHyphens/>
              <w:rPr>
                <w:rFonts w:ascii="Arial" w:eastAsia="Garamond" w:hAnsi="Arial"/>
                <w:sz w:val="18"/>
                <w:lang w:val="en-US"/>
              </w:rPr>
            </w:pPr>
          </w:p>
        </w:tc>
      </w:tr>
      <w:tr w:rsidR="00E97416" w:rsidRPr="004576B2" w:rsidTr="00F76D68">
        <w:tc>
          <w:tcPr>
            <w:tcW w:w="1188"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61</w:t>
            </w:r>
          </w:p>
        </w:tc>
        <w:tc>
          <w:tcPr>
            <w:tcW w:w="3870"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Educational services</w:t>
            </w:r>
          </w:p>
        </w:tc>
        <w:tc>
          <w:tcPr>
            <w:tcW w:w="450" w:type="dxa"/>
            <w:vMerge w:val="restart"/>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9</w:t>
            </w:r>
          </w:p>
        </w:tc>
        <w:tc>
          <w:tcPr>
            <w:tcW w:w="3734" w:type="dxa"/>
            <w:vMerge w:val="restart"/>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Social services</w:t>
            </w:r>
          </w:p>
        </w:tc>
      </w:tr>
      <w:tr w:rsidR="00E97416" w:rsidRPr="00C40B75" w:rsidTr="00F76D68">
        <w:tc>
          <w:tcPr>
            <w:tcW w:w="1188"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62</w:t>
            </w:r>
          </w:p>
        </w:tc>
        <w:tc>
          <w:tcPr>
            <w:tcW w:w="3870"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Health care and social assistance</w:t>
            </w:r>
          </w:p>
        </w:tc>
        <w:tc>
          <w:tcPr>
            <w:tcW w:w="450" w:type="dxa"/>
            <w:vMerge/>
            <w:tcBorders>
              <w:top w:val="nil"/>
              <w:left w:val="nil"/>
              <w:bottom w:val="nil"/>
              <w:right w:val="nil"/>
            </w:tcBorders>
          </w:tcPr>
          <w:p w:rsidR="00E97416" w:rsidRPr="00E97416" w:rsidRDefault="00E97416" w:rsidP="00E97416">
            <w:pPr>
              <w:suppressAutoHyphens/>
              <w:rPr>
                <w:rFonts w:ascii="Arial" w:eastAsia="Garamond" w:hAnsi="Arial"/>
                <w:sz w:val="18"/>
                <w:lang w:val="en-US"/>
              </w:rPr>
            </w:pPr>
          </w:p>
        </w:tc>
        <w:tc>
          <w:tcPr>
            <w:tcW w:w="3734" w:type="dxa"/>
            <w:vMerge/>
            <w:tcBorders>
              <w:top w:val="nil"/>
              <w:left w:val="nil"/>
              <w:bottom w:val="nil"/>
              <w:right w:val="nil"/>
            </w:tcBorders>
          </w:tcPr>
          <w:p w:rsidR="00E97416" w:rsidRPr="00E97416" w:rsidRDefault="00E97416" w:rsidP="00E97416">
            <w:pPr>
              <w:suppressAutoHyphens/>
              <w:rPr>
                <w:rFonts w:ascii="Arial" w:eastAsia="Garamond" w:hAnsi="Arial"/>
                <w:sz w:val="18"/>
                <w:lang w:val="en-US"/>
              </w:rPr>
            </w:pPr>
          </w:p>
        </w:tc>
      </w:tr>
      <w:tr w:rsidR="00E97416" w:rsidRPr="004576B2" w:rsidTr="00F76D68">
        <w:tc>
          <w:tcPr>
            <w:tcW w:w="1188"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71</w:t>
            </w:r>
          </w:p>
        </w:tc>
        <w:tc>
          <w:tcPr>
            <w:tcW w:w="3870"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Arts, entertainment, and recreation</w:t>
            </w:r>
          </w:p>
        </w:tc>
        <w:tc>
          <w:tcPr>
            <w:tcW w:w="450"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10</w:t>
            </w:r>
          </w:p>
        </w:tc>
        <w:tc>
          <w:tcPr>
            <w:tcW w:w="3734"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Diverse services</w:t>
            </w:r>
          </w:p>
        </w:tc>
      </w:tr>
      <w:tr w:rsidR="00E97416" w:rsidRPr="004576B2" w:rsidTr="00F76D68">
        <w:tc>
          <w:tcPr>
            <w:tcW w:w="1188"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72</w:t>
            </w:r>
          </w:p>
        </w:tc>
        <w:tc>
          <w:tcPr>
            <w:tcW w:w="3870"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Accommodation and food services</w:t>
            </w:r>
          </w:p>
        </w:tc>
        <w:tc>
          <w:tcPr>
            <w:tcW w:w="450"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6</w:t>
            </w:r>
          </w:p>
        </w:tc>
        <w:tc>
          <w:tcPr>
            <w:tcW w:w="3734"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 xml:space="preserve">Restaurants and accommodation </w:t>
            </w:r>
          </w:p>
        </w:tc>
      </w:tr>
      <w:tr w:rsidR="00E97416" w:rsidRPr="004576B2" w:rsidTr="00F76D68">
        <w:tc>
          <w:tcPr>
            <w:tcW w:w="1188"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81</w:t>
            </w:r>
          </w:p>
        </w:tc>
        <w:tc>
          <w:tcPr>
            <w:tcW w:w="3870"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Other services, except public administration</w:t>
            </w:r>
          </w:p>
        </w:tc>
        <w:tc>
          <w:tcPr>
            <w:tcW w:w="450"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10</w:t>
            </w:r>
          </w:p>
        </w:tc>
        <w:tc>
          <w:tcPr>
            <w:tcW w:w="3734" w:type="dxa"/>
            <w:tcBorders>
              <w:top w:val="nil"/>
              <w:left w:val="nil"/>
              <w:bottom w:val="nil"/>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Diverse services</w:t>
            </w:r>
          </w:p>
        </w:tc>
      </w:tr>
      <w:tr w:rsidR="00E97416" w:rsidRPr="004576B2" w:rsidTr="00F76D68">
        <w:tc>
          <w:tcPr>
            <w:tcW w:w="1188" w:type="dxa"/>
            <w:tcBorders>
              <w:top w:val="nil"/>
              <w:left w:val="nil"/>
              <w:bottom w:val="single" w:sz="4" w:space="0" w:color="auto"/>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93</w:t>
            </w:r>
          </w:p>
        </w:tc>
        <w:tc>
          <w:tcPr>
            <w:tcW w:w="3870" w:type="dxa"/>
            <w:tcBorders>
              <w:top w:val="nil"/>
              <w:left w:val="nil"/>
              <w:bottom w:val="single" w:sz="4" w:space="0" w:color="auto"/>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Public administration</w:t>
            </w:r>
          </w:p>
        </w:tc>
        <w:tc>
          <w:tcPr>
            <w:tcW w:w="450" w:type="dxa"/>
            <w:tcBorders>
              <w:top w:val="nil"/>
              <w:left w:val="nil"/>
              <w:bottom w:val="single" w:sz="4" w:space="0" w:color="auto"/>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11</w:t>
            </w:r>
          </w:p>
        </w:tc>
        <w:tc>
          <w:tcPr>
            <w:tcW w:w="3734" w:type="dxa"/>
            <w:tcBorders>
              <w:top w:val="nil"/>
              <w:left w:val="nil"/>
              <w:bottom w:val="single" w:sz="4" w:space="0" w:color="auto"/>
              <w:right w:val="nil"/>
            </w:tcBorders>
          </w:tcPr>
          <w:p w:rsidR="00E97416" w:rsidRPr="00E97416" w:rsidRDefault="00E97416" w:rsidP="00E97416">
            <w:pPr>
              <w:suppressAutoHyphens/>
              <w:rPr>
                <w:rFonts w:ascii="Arial" w:eastAsia="Garamond" w:hAnsi="Arial"/>
                <w:sz w:val="18"/>
                <w:lang w:val="en-US"/>
              </w:rPr>
            </w:pPr>
            <w:r w:rsidRPr="00E97416">
              <w:rPr>
                <w:rFonts w:ascii="Arial" w:eastAsia="Garamond" w:hAnsi="Arial"/>
                <w:sz w:val="18"/>
                <w:lang w:val="en-US"/>
              </w:rPr>
              <w:t xml:space="preserve">Public administration </w:t>
            </w:r>
          </w:p>
        </w:tc>
      </w:tr>
    </w:tbl>
    <w:p w:rsidR="00E97416" w:rsidRPr="00E97416" w:rsidRDefault="00E97416" w:rsidP="00E97416">
      <w:pPr>
        <w:rPr>
          <w:rFonts w:ascii="Arial" w:eastAsia="Garamond" w:hAnsi="Arial"/>
          <w:sz w:val="18"/>
          <w:lang w:val="en-US"/>
        </w:rPr>
      </w:pPr>
      <w:r w:rsidRPr="00E97416">
        <w:rPr>
          <w:rFonts w:ascii="Arial" w:eastAsia="Garamond" w:hAnsi="Arial"/>
          <w:sz w:val="18"/>
          <w:lang w:val="en-US"/>
        </w:rPr>
        <w:t>Source: Authors’ elaboration based on</w:t>
      </w:r>
      <w:r>
        <w:rPr>
          <w:rFonts w:ascii="Arial" w:eastAsia="Garamond" w:hAnsi="Arial"/>
          <w:sz w:val="18"/>
          <w:lang w:val="en-US"/>
        </w:rPr>
        <w:t xml:space="preserve"> information from ENE and INEGI</w:t>
      </w:r>
      <w:r w:rsidRPr="00E97416">
        <w:rPr>
          <w:rFonts w:ascii="Arial" w:eastAsia="Garamond" w:hAnsi="Arial"/>
          <w:sz w:val="18"/>
          <w:lang w:val="en-US"/>
        </w:rPr>
        <w:t>–</w:t>
      </w:r>
      <w:r>
        <w:rPr>
          <w:rFonts w:ascii="Arial" w:eastAsia="Garamond" w:hAnsi="Arial"/>
          <w:sz w:val="18"/>
          <w:lang w:val="en-US"/>
        </w:rPr>
        <w:t>KLEM</w:t>
      </w:r>
      <w:r w:rsidRPr="00E97416">
        <w:rPr>
          <w:rFonts w:ascii="Arial" w:eastAsia="Garamond" w:hAnsi="Arial"/>
          <w:sz w:val="18"/>
          <w:lang w:val="en-US"/>
        </w:rPr>
        <w:t>S.</w:t>
      </w:r>
    </w:p>
    <w:p w:rsidR="00E97416" w:rsidRPr="00E97416" w:rsidRDefault="00E97416" w:rsidP="00E97416">
      <w:pPr>
        <w:suppressAutoHyphens/>
        <w:jc w:val="both"/>
        <w:rPr>
          <w:rFonts w:ascii="Garamond" w:eastAsia="Garamond" w:hAnsi="Garamond"/>
          <w:lang w:val="en-US"/>
        </w:rPr>
      </w:pPr>
    </w:p>
    <w:p w:rsidR="00E97416" w:rsidRPr="00E97416" w:rsidRDefault="00E97416" w:rsidP="00E97416">
      <w:pPr>
        <w:suppressAutoHyphens/>
        <w:jc w:val="both"/>
        <w:rPr>
          <w:rFonts w:ascii="Garamond" w:eastAsia="Garamond" w:hAnsi="Garamond"/>
          <w:b/>
          <w:lang w:val="en-US"/>
        </w:rPr>
      </w:pPr>
      <w:r w:rsidRPr="00E97416">
        <w:rPr>
          <w:rFonts w:ascii="Garamond" w:eastAsia="Garamond" w:hAnsi="Garamond"/>
          <w:b/>
          <w:lang w:val="en-US"/>
        </w:rPr>
        <w:t>References</w:t>
      </w:r>
    </w:p>
    <w:p w:rsidR="00E97416" w:rsidRPr="00E97416" w:rsidRDefault="00E97416" w:rsidP="00E97416">
      <w:pPr>
        <w:suppressAutoHyphens/>
        <w:jc w:val="both"/>
        <w:rPr>
          <w:rFonts w:ascii="Garamond" w:eastAsia="Garamond" w:hAnsi="Garamond"/>
          <w:b/>
          <w:lang w:val="en-US"/>
        </w:rPr>
      </w:pPr>
    </w:p>
    <w:p w:rsidR="00E97416" w:rsidRPr="00E97416" w:rsidRDefault="00E97416" w:rsidP="00E97416">
      <w:pPr>
        <w:pStyle w:val="Biblio"/>
        <w:spacing w:after="0"/>
        <w:jc w:val="left"/>
        <w:rPr>
          <w:lang w:val="en-US"/>
        </w:rPr>
      </w:pPr>
      <w:r w:rsidRPr="00E97416">
        <w:rPr>
          <w:lang w:val="en-US"/>
        </w:rPr>
        <w:t>INEGI (</w:t>
      </w:r>
      <w:proofErr w:type="spellStart"/>
      <w:r w:rsidRPr="00E97416">
        <w:rPr>
          <w:lang w:val="en-US"/>
        </w:rPr>
        <w:t>n.d.</w:t>
      </w:r>
      <w:proofErr w:type="spellEnd"/>
      <w:r w:rsidR="000C7BB5">
        <w:rPr>
          <w:lang w:val="en-US"/>
        </w:rPr>
        <w:t xml:space="preserve">, </w:t>
      </w:r>
      <w:r w:rsidRPr="00E97416">
        <w:rPr>
          <w:lang w:val="en-US"/>
        </w:rPr>
        <w:t xml:space="preserve">a). ENE data. Available at: </w:t>
      </w:r>
      <w:r w:rsidRPr="00E97416">
        <w:rPr>
          <w:sz w:val="22"/>
          <w:lang w:val="en-US"/>
        </w:rPr>
        <w:t>http://www3.inegi.org.mx/sistemas/microdatos/encuestas.aspx?c=14649&amp;s=est (accessed October 2017).</w:t>
      </w:r>
    </w:p>
    <w:p w:rsidR="00E97416" w:rsidRPr="00E97416" w:rsidRDefault="00E97416" w:rsidP="00E97416">
      <w:pPr>
        <w:pStyle w:val="Biblio"/>
        <w:spacing w:after="0"/>
        <w:jc w:val="left"/>
        <w:rPr>
          <w:sz w:val="22"/>
          <w:lang w:val="en-US"/>
        </w:rPr>
      </w:pPr>
      <w:r w:rsidRPr="00E97416">
        <w:rPr>
          <w:lang w:val="en-US"/>
        </w:rPr>
        <w:t>INEGI (</w:t>
      </w:r>
      <w:proofErr w:type="spellStart"/>
      <w:r w:rsidRPr="00E97416">
        <w:rPr>
          <w:lang w:val="en-US"/>
        </w:rPr>
        <w:t>n.d.</w:t>
      </w:r>
      <w:proofErr w:type="spellEnd"/>
      <w:r w:rsidR="000C7BB5">
        <w:rPr>
          <w:lang w:val="en-US"/>
        </w:rPr>
        <w:t xml:space="preserve">, </w:t>
      </w:r>
      <w:r w:rsidRPr="00E97416">
        <w:rPr>
          <w:lang w:val="en-US"/>
        </w:rPr>
        <w:t xml:space="preserve">b). ENOE data. Available at: </w:t>
      </w:r>
      <w:r w:rsidRPr="00E97416">
        <w:rPr>
          <w:sz w:val="22"/>
          <w:lang w:val="en-US"/>
        </w:rPr>
        <w:t>http://www.inegi.org.mx/est/contenidos/proyectos/encuestas/hogares/historicas/enoe_historico/default.aspx (accessed October 2017).</w:t>
      </w:r>
    </w:p>
    <w:p w:rsidR="00E97416" w:rsidRPr="00E97416" w:rsidRDefault="00E97416" w:rsidP="00E97416">
      <w:pPr>
        <w:pStyle w:val="Biblio"/>
        <w:spacing w:after="0"/>
        <w:jc w:val="left"/>
        <w:rPr>
          <w:lang w:val="en-US"/>
        </w:rPr>
      </w:pPr>
      <w:r w:rsidRPr="00E97416">
        <w:rPr>
          <w:lang w:val="en-US"/>
        </w:rPr>
        <w:t>INEGI (</w:t>
      </w:r>
      <w:proofErr w:type="spellStart"/>
      <w:r w:rsidRPr="00E97416">
        <w:rPr>
          <w:lang w:val="en-US"/>
        </w:rPr>
        <w:t>n.d.</w:t>
      </w:r>
      <w:proofErr w:type="spellEnd"/>
      <w:r w:rsidR="000C7BB5">
        <w:rPr>
          <w:lang w:val="en-US"/>
        </w:rPr>
        <w:t xml:space="preserve">, </w:t>
      </w:r>
      <w:r w:rsidRPr="00E97416">
        <w:rPr>
          <w:lang w:val="en-US"/>
        </w:rPr>
        <w:t>c). INEGI classification data. Available at: http://www3.inegi.org.mx/sistemas/biblioteca/ficha.aspx?upc=702825001944</w:t>
      </w:r>
      <w:r w:rsidRPr="00E97416">
        <w:rPr>
          <w:sz w:val="22"/>
          <w:lang w:val="en-US"/>
        </w:rPr>
        <w:t xml:space="preserve"> (accessed October 2017).</w:t>
      </w:r>
    </w:p>
    <w:p w:rsidR="00E97416" w:rsidRPr="00E97416" w:rsidRDefault="00E97416" w:rsidP="00E97416">
      <w:pPr>
        <w:suppressAutoHyphens/>
        <w:jc w:val="both"/>
        <w:rPr>
          <w:rFonts w:ascii="Garamond" w:eastAsia="Garamond" w:hAnsi="Garamond"/>
          <w:b/>
          <w:lang w:val="en-US"/>
        </w:rPr>
      </w:pPr>
    </w:p>
    <w:p w:rsidR="00E97416" w:rsidRPr="00E97416" w:rsidRDefault="00E97416" w:rsidP="00E97416">
      <w:pPr>
        <w:suppressAutoHyphens/>
        <w:jc w:val="both"/>
        <w:rPr>
          <w:rFonts w:ascii="Garamond" w:eastAsia="Garamond" w:hAnsi="Garamond"/>
          <w:b/>
          <w:lang w:val="en-US"/>
        </w:rPr>
      </w:pPr>
    </w:p>
    <w:p w:rsidR="00E97416" w:rsidRDefault="00E97416" w:rsidP="00E97416">
      <w:pPr>
        <w:suppressAutoHyphens/>
        <w:jc w:val="both"/>
        <w:rPr>
          <w:rFonts w:ascii="Garamond" w:eastAsia="Garamond" w:hAnsi="Garamond"/>
          <w:b/>
          <w:lang w:val="en-GB"/>
        </w:rPr>
      </w:pPr>
    </w:p>
    <w:p w:rsidR="00E97416" w:rsidRPr="00E97416" w:rsidRDefault="00E97416" w:rsidP="00E97416">
      <w:pPr>
        <w:suppressAutoHyphens/>
        <w:jc w:val="both"/>
        <w:rPr>
          <w:rFonts w:ascii="Garamond" w:eastAsia="Garamond" w:hAnsi="Garamond"/>
          <w:b/>
          <w:lang w:val="en-GB"/>
        </w:rPr>
        <w:sectPr w:rsidR="00E97416" w:rsidRPr="00E97416" w:rsidSect="00F76D68">
          <w:headerReference w:type="default" r:id="rId7"/>
          <w:footerReference w:type="default" r:id="rId8"/>
          <w:pgSz w:w="11906" w:h="16838" w:code="9"/>
          <w:pgMar w:top="1440" w:right="1440" w:bottom="1440" w:left="1440" w:header="709" w:footer="709" w:gutter="0"/>
          <w:paperSrc w:first="1025" w:other="1025"/>
          <w:pgNumType w:start="1"/>
          <w:cols w:space="708"/>
          <w:docGrid w:linePitch="360"/>
        </w:sectPr>
      </w:pPr>
    </w:p>
    <w:p w:rsidR="00E97416" w:rsidRPr="00E97416" w:rsidRDefault="00E97416" w:rsidP="00E97416">
      <w:pPr>
        <w:rPr>
          <w:rFonts w:ascii="Garamond" w:hAnsi="Garamond"/>
          <w:b/>
          <w:lang w:val="en-US"/>
        </w:rPr>
      </w:pPr>
      <w:bookmarkStart w:id="0" w:name="_GoBack"/>
      <w:bookmarkEnd w:id="0"/>
      <w:r>
        <w:rPr>
          <w:rFonts w:ascii="Garamond" w:hAnsi="Garamond"/>
          <w:b/>
          <w:lang w:val="en-US"/>
        </w:rPr>
        <w:lastRenderedPageBreak/>
        <w:t xml:space="preserve">A2. </w:t>
      </w:r>
      <w:r w:rsidRPr="00E97416">
        <w:rPr>
          <w:rFonts w:ascii="Garamond" w:hAnsi="Garamond"/>
          <w:b/>
          <w:lang w:val="en-US"/>
        </w:rPr>
        <w:t>Supplementary tables and figures</w:t>
      </w:r>
    </w:p>
    <w:p w:rsidR="00E97416" w:rsidRPr="00E97416" w:rsidRDefault="00E97416" w:rsidP="00E97416">
      <w:pPr>
        <w:rPr>
          <w:lang w:val="en-US"/>
        </w:rPr>
      </w:pPr>
    </w:p>
    <w:p w:rsidR="00E97416" w:rsidRPr="00E97416" w:rsidRDefault="00E97416" w:rsidP="000C7BB5">
      <w:pPr>
        <w:spacing w:before="120" w:after="120"/>
        <w:rPr>
          <w:rFonts w:ascii="Arial" w:eastAsia="Garamond" w:hAnsi="Arial"/>
          <w:sz w:val="18"/>
          <w:lang w:val="en-GB"/>
        </w:rPr>
      </w:pPr>
      <w:r w:rsidRPr="00E97416">
        <w:rPr>
          <w:rFonts w:ascii="Arial" w:eastAsia="Garamond" w:hAnsi="Arial"/>
          <w:sz w:val="18"/>
          <w:lang w:val="en-GB"/>
        </w:rPr>
        <w:t>Table A5: Wage share for the whole economy and its main sectors, 1990–2015</w:t>
      </w:r>
    </w:p>
    <w:tbl>
      <w:tblPr>
        <w:tblW w:w="14898" w:type="dxa"/>
        <w:tblBorders>
          <w:top w:val="single" w:sz="4" w:space="0" w:color="auto"/>
          <w:bottom w:val="single" w:sz="4" w:space="0" w:color="auto"/>
        </w:tblBorders>
        <w:tblLayout w:type="fixed"/>
        <w:tblCellMar>
          <w:left w:w="28" w:type="dxa"/>
          <w:right w:w="28" w:type="dxa"/>
        </w:tblCellMar>
        <w:tblLook w:val="04A0" w:firstRow="1" w:lastRow="0" w:firstColumn="1" w:lastColumn="0" w:noHBand="0" w:noVBand="1"/>
      </w:tblPr>
      <w:tblGrid>
        <w:gridCol w:w="1368"/>
        <w:gridCol w:w="520"/>
        <w:gridCol w:w="520"/>
        <w:gridCol w:w="521"/>
        <w:gridCol w:w="520"/>
        <w:gridCol w:w="520"/>
        <w:gridCol w:w="521"/>
        <w:gridCol w:w="520"/>
        <w:gridCol w:w="521"/>
        <w:gridCol w:w="520"/>
        <w:gridCol w:w="520"/>
        <w:gridCol w:w="521"/>
        <w:gridCol w:w="520"/>
        <w:gridCol w:w="521"/>
        <w:gridCol w:w="520"/>
        <w:gridCol w:w="520"/>
        <w:gridCol w:w="521"/>
        <w:gridCol w:w="520"/>
        <w:gridCol w:w="520"/>
        <w:gridCol w:w="521"/>
        <w:gridCol w:w="520"/>
        <w:gridCol w:w="521"/>
        <w:gridCol w:w="520"/>
        <w:gridCol w:w="520"/>
        <w:gridCol w:w="521"/>
        <w:gridCol w:w="520"/>
        <w:gridCol w:w="521"/>
      </w:tblGrid>
      <w:tr w:rsidR="00E97416" w:rsidRPr="004576B2" w:rsidTr="00F76D68">
        <w:trPr>
          <w:cantSplit/>
        </w:trPr>
        <w:tc>
          <w:tcPr>
            <w:tcW w:w="1368" w:type="dxa"/>
            <w:tcBorders>
              <w:top w:val="single" w:sz="4" w:space="0" w:color="auto"/>
              <w:bottom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p>
        </w:tc>
        <w:tc>
          <w:tcPr>
            <w:tcW w:w="520" w:type="dxa"/>
            <w:tcBorders>
              <w:top w:val="single" w:sz="4" w:space="0" w:color="auto"/>
              <w:bottom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1990</w:t>
            </w:r>
          </w:p>
        </w:tc>
        <w:tc>
          <w:tcPr>
            <w:tcW w:w="520" w:type="dxa"/>
            <w:tcBorders>
              <w:top w:val="single" w:sz="4" w:space="0" w:color="auto"/>
              <w:bottom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1991</w:t>
            </w:r>
          </w:p>
        </w:tc>
        <w:tc>
          <w:tcPr>
            <w:tcW w:w="521" w:type="dxa"/>
            <w:tcBorders>
              <w:top w:val="single" w:sz="4" w:space="0" w:color="auto"/>
              <w:bottom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1992</w:t>
            </w:r>
          </w:p>
        </w:tc>
        <w:tc>
          <w:tcPr>
            <w:tcW w:w="520" w:type="dxa"/>
            <w:tcBorders>
              <w:top w:val="single" w:sz="4" w:space="0" w:color="auto"/>
              <w:bottom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1993</w:t>
            </w:r>
          </w:p>
        </w:tc>
        <w:tc>
          <w:tcPr>
            <w:tcW w:w="520" w:type="dxa"/>
            <w:tcBorders>
              <w:top w:val="single" w:sz="4" w:space="0" w:color="auto"/>
              <w:bottom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1994</w:t>
            </w:r>
          </w:p>
        </w:tc>
        <w:tc>
          <w:tcPr>
            <w:tcW w:w="521" w:type="dxa"/>
            <w:tcBorders>
              <w:top w:val="single" w:sz="4" w:space="0" w:color="auto"/>
              <w:bottom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1995</w:t>
            </w:r>
          </w:p>
        </w:tc>
        <w:tc>
          <w:tcPr>
            <w:tcW w:w="520" w:type="dxa"/>
            <w:tcBorders>
              <w:top w:val="single" w:sz="4" w:space="0" w:color="auto"/>
              <w:bottom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1996</w:t>
            </w:r>
          </w:p>
        </w:tc>
        <w:tc>
          <w:tcPr>
            <w:tcW w:w="521" w:type="dxa"/>
            <w:tcBorders>
              <w:top w:val="single" w:sz="4" w:space="0" w:color="auto"/>
              <w:bottom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1997</w:t>
            </w:r>
          </w:p>
        </w:tc>
        <w:tc>
          <w:tcPr>
            <w:tcW w:w="520" w:type="dxa"/>
            <w:tcBorders>
              <w:top w:val="single" w:sz="4" w:space="0" w:color="auto"/>
              <w:bottom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1998</w:t>
            </w:r>
          </w:p>
        </w:tc>
        <w:tc>
          <w:tcPr>
            <w:tcW w:w="520" w:type="dxa"/>
            <w:tcBorders>
              <w:top w:val="single" w:sz="4" w:space="0" w:color="auto"/>
              <w:bottom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1999</w:t>
            </w:r>
          </w:p>
        </w:tc>
        <w:tc>
          <w:tcPr>
            <w:tcW w:w="521" w:type="dxa"/>
            <w:tcBorders>
              <w:top w:val="single" w:sz="4" w:space="0" w:color="auto"/>
              <w:bottom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2000</w:t>
            </w:r>
          </w:p>
        </w:tc>
        <w:tc>
          <w:tcPr>
            <w:tcW w:w="520" w:type="dxa"/>
            <w:tcBorders>
              <w:top w:val="single" w:sz="4" w:space="0" w:color="auto"/>
              <w:bottom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2001</w:t>
            </w:r>
          </w:p>
        </w:tc>
        <w:tc>
          <w:tcPr>
            <w:tcW w:w="521" w:type="dxa"/>
            <w:tcBorders>
              <w:top w:val="single" w:sz="4" w:space="0" w:color="auto"/>
              <w:bottom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2002</w:t>
            </w:r>
          </w:p>
        </w:tc>
        <w:tc>
          <w:tcPr>
            <w:tcW w:w="520" w:type="dxa"/>
            <w:tcBorders>
              <w:top w:val="single" w:sz="4" w:space="0" w:color="auto"/>
              <w:bottom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2003</w:t>
            </w:r>
          </w:p>
        </w:tc>
        <w:tc>
          <w:tcPr>
            <w:tcW w:w="520" w:type="dxa"/>
            <w:tcBorders>
              <w:top w:val="single" w:sz="4" w:space="0" w:color="auto"/>
              <w:bottom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2004</w:t>
            </w:r>
          </w:p>
        </w:tc>
        <w:tc>
          <w:tcPr>
            <w:tcW w:w="521" w:type="dxa"/>
            <w:tcBorders>
              <w:top w:val="single" w:sz="4" w:space="0" w:color="auto"/>
              <w:bottom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2005</w:t>
            </w:r>
          </w:p>
        </w:tc>
        <w:tc>
          <w:tcPr>
            <w:tcW w:w="520" w:type="dxa"/>
            <w:tcBorders>
              <w:top w:val="single" w:sz="4" w:space="0" w:color="auto"/>
              <w:bottom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2006</w:t>
            </w:r>
          </w:p>
        </w:tc>
        <w:tc>
          <w:tcPr>
            <w:tcW w:w="520" w:type="dxa"/>
            <w:tcBorders>
              <w:top w:val="single" w:sz="4" w:space="0" w:color="auto"/>
              <w:bottom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2007</w:t>
            </w:r>
          </w:p>
        </w:tc>
        <w:tc>
          <w:tcPr>
            <w:tcW w:w="521" w:type="dxa"/>
            <w:tcBorders>
              <w:top w:val="single" w:sz="4" w:space="0" w:color="auto"/>
              <w:bottom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2008</w:t>
            </w:r>
          </w:p>
        </w:tc>
        <w:tc>
          <w:tcPr>
            <w:tcW w:w="520" w:type="dxa"/>
            <w:tcBorders>
              <w:top w:val="single" w:sz="4" w:space="0" w:color="auto"/>
              <w:bottom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2009</w:t>
            </w:r>
          </w:p>
        </w:tc>
        <w:tc>
          <w:tcPr>
            <w:tcW w:w="521" w:type="dxa"/>
            <w:tcBorders>
              <w:top w:val="single" w:sz="4" w:space="0" w:color="auto"/>
              <w:bottom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2010</w:t>
            </w:r>
          </w:p>
        </w:tc>
        <w:tc>
          <w:tcPr>
            <w:tcW w:w="520" w:type="dxa"/>
            <w:tcBorders>
              <w:top w:val="single" w:sz="4" w:space="0" w:color="auto"/>
              <w:bottom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2011</w:t>
            </w:r>
          </w:p>
        </w:tc>
        <w:tc>
          <w:tcPr>
            <w:tcW w:w="520" w:type="dxa"/>
            <w:tcBorders>
              <w:top w:val="single" w:sz="4" w:space="0" w:color="auto"/>
              <w:bottom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2012</w:t>
            </w:r>
          </w:p>
        </w:tc>
        <w:tc>
          <w:tcPr>
            <w:tcW w:w="521" w:type="dxa"/>
            <w:tcBorders>
              <w:top w:val="single" w:sz="4" w:space="0" w:color="auto"/>
              <w:bottom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2013</w:t>
            </w:r>
          </w:p>
        </w:tc>
        <w:tc>
          <w:tcPr>
            <w:tcW w:w="520" w:type="dxa"/>
            <w:tcBorders>
              <w:top w:val="single" w:sz="4" w:space="0" w:color="auto"/>
              <w:bottom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2014</w:t>
            </w:r>
          </w:p>
        </w:tc>
        <w:tc>
          <w:tcPr>
            <w:tcW w:w="521" w:type="dxa"/>
            <w:tcBorders>
              <w:top w:val="single" w:sz="4" w:space="0" w:color="auto"/>
              <w:bottom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2015</w:t>
            </w:r>
          </w:p>
        </w:tc>
      </w:tr>
      <w:tr w:rsidR="00E97416" w:rsidRPr="004576B2" w:rsidTr="00F76D68">
        <w:trPr>
          <w:cantSplit/>
        </w:trPr>
        <w:tc>
          <w:tcPr>
            <w:tcW w:w="1368" w:type="dxa"/>
            <w:tcBorders>
              <w:top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Total</w:t>
            </w:r>
          </w:p>
        </w:tc>
        <w:tc>
          <w:tcPr>
            <w:tcW w:w="520" w:type="dxa"/>
            <w:tcBorders>
              <w:top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0" w:type="dxa"/>
            <w:tcBorders>
              <w:top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1" w:type="dxa"/>
            <w:tcBorders>
              <w:top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0.31</w:t>
            </w:r>
          </w:p>
        </w:tc>
        <w:tc>
          <w:tcPr>
            <w:tcW w:w="520" w:type="dxa"/>
            <w:tcBorders>
              <w:top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0" w:type="dxa"/>
            <w:tcBorders>
              <w:top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1" w:type="dxa"/>
            <w:tcBorders>
              <w:top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tcBorders>
              <w:top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0.26</w:t>
            </w:r>
          </w:p>
        </w:tc>
        <w:tc>
          <w:tcPr>
            <w:tcW w:w="521" w:type="dxa"/>
            <w:tcBorders>
              <w:top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tcBorders>
              <w:top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tcBorders>
              <w:top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1" w:type="dxa"/>
            <w:tcBorders>
              <w:top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0" w:type="dxa"/>
            <w:tcBorders>
              <w:top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1" w:type="dxa"/>
            <w:tcBorders>
              <w:top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0" w:type="dxa"/>
            <w:tcBorders>
              <w:top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0" w:type="dxa"/>
            <w:tcBorders>
              <w:top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1" w:type="dxa"/>
            <w:tcBorders>
              <w:top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0" w:type="dxa"/>
            <w:tcBorders>
              <w:top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0" w:type="dxa"/>
            <w:tcBorders>
              <w:top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1" w:type="dxa"/>
            <w:tcBorders>
              <w:top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tcBorders>
              <w:top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1" w:type="dxa"/>
            <w:tcBorders>
              <w:top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tcBorders>
              <w:top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tcBorders>
              <w:top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1" w:type="dxa"/>
            <w:tcBorders>
              <w:top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tcBorders>
              <w:top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1" w:type="dxa"/>
            <w:tcBorders>
              <w:top w:val="single" w:sz="4" w:space="0" w:color="auto"/>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r>
      <w:tr w:rsidR="00E97416" w:rsidRPr="004576B2" w:rsidTr="00F76D68">
        <w:trPr>
          <w:cantSplit/>
        </w:trPr>
        <w:tc>
          <w:tcPr>
            <w:tcW w:w="1368"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Tradables</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0.20</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0.21</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0.19</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0.19</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0.19</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0.21</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0.22</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0.21</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0.20</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0.19</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0.14</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0.14</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0.15</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0.15</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0.16</w:t>
            </w:r>
          </w:p>
        </w:tc>
      </w:tr>
      <w:tr w:rsidR="00E97416" w:rsidRPr="004576B2" w:rsidTr="00F76D68">
        <w:trPr>
          <w:cantSplit/>
        </w:trPr>
        <w:tc>
          <w:tcPr>
            <w:tcW w:w="1368"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Non-tradables</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0.35</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0.34</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0.36</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0.31</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0.31</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0.31</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0.33</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0.34</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0.34</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0.33</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0.33</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r>
      <w:tr w:rsidR="00E97416" w:rsidRPr="004576B2" w:rsidTr="00F76D68">
        <w:trPr>
          <w:cantSplit/>
        </w:trPr>
        <w:tc>
          <w:tcPr>
            <w:tcW w:w="1368"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Agriculture, forestry, fishing, and hunting</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0.16</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0.14</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0.14</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0.15</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0.16</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0.19</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0.16</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r>
      <w:tr w:rsidR="00E97416" w:rsidRPr="004576B2" w:rsidTr="00F76D68">
        <w:trPr>
          <w:cantSplit/>
        </w:trPr>
        <w:tc>
          <w:tcPr>
            <w:tcW w:w="1368"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Mining, quarrying, and oil and gas extraction</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0.05</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0.07</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0.07</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0.06</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0.06</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0.09</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0.09</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0.07</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0.06</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0.06</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0.11</w:t>
            </w:r>
          </w:p>
        </w:tc>
      </w:tr>
      <w:tr w:rsidR="00E97416" w:rsidRPr="004576B2" w:rsidTr="00F76D68">
        <w:trPr>
          <w:cantSplit/>
        </w:trPr>
        <w:tc>
          <w:tcPr>
            <w:tcW w:w="1368"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Utilities</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0.21</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0.21</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0.21</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0.20</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0.21</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0.21</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0.20</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0.20</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0.20</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0.19</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0.19</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0.21</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0.20</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0.20</w:t>
            </w:r>
          </w:p>
        </w:tc>
      </w:tr>
      <w:tr w:rsidR="00E97416" w:rsidRPr="004576B2" w:rsidTr="00F76D68">
        <w:trPr>
          <w:cantSplit/>
        </w:trPr>
        <w:tc>
          <w:tcPr>
            <w:tcW w:w="1368"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Construction</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0.46</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0.41</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0.45</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0.50</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0.51</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0.51</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0.45</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0.45</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0.45</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0.45</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0.45</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0.44</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0.43</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0.43</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0.43</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0.43</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0.42</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0.42</w:t>
            </w:r>
          </w:p>
        </w:tc>
      </w:tr>
      <w:tr w:rsidR="00E97416" w:rsidRPr="004576B2" w:rsidTr="00F76D68">
        <w:trPr>
          <w:cantSplit/>
        </w:trPr>
        <w:tc>
          <w:tcPr>
            <w:tcW w:w="1368"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Manufacturing</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0.21</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0.21</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0.21</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0.19</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0.19</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r>
      <w:tr w:rsidR="00E97416" w:rsidRPr="004576B2" w:rsidTr="00F76D68">
        <w:trPr>
          <w:cantSplit/>
        </w:trPr>
        <w:tc>
          <w:tcPr>
            <w:tcW w:w="1368"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Wholesale trade and retail trade</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0.21</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0.26</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0.19</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0.16</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0.20</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0.21</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0.21</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0.19</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0.19</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0.19</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0.19</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0.19</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0.16</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0.16</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0.15</w:t>
            </w:r>
          </w:p>
        </w:tc>
      </w:tr>
      <w:tr w:rsidR="00E97416" w:rsidRPr="004576B2" w:rsidTr="00F76D68">
        <w:trPr>
          <w:cantSplit/>
        </w:trPr>
        <w:tc>
          <w:tcPr>
            <w:tcW w:w="1368"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Transportation and warehousing</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0.31</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0.35</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0.33</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0.31</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0.31</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0.33</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0.33</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0.34</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0.33</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0.33</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0.31</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0.33</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0.31</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0.31</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r>
      <w:tr w:rsidR="00E97416" w:rsidRPr="004576B2" w:rsidTr="00F76D68">
        <w:trPr>
          <w:cantSplit/>
        </w:trPr>
        <w:tc>
          <w:tcPr>
            <w:tcW w:w="1368"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Information and cultural industries</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0.33</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0.33</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0.34</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0.34</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0.34</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0.33</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r>
      <w:tr w:rsidR="00E97416" w:rsidRPr="004576B2" w:rsidTr="00F76D68">
        <w:trPr>
          <w:cantSplit/>
        </w:trPr>
        <w:tc>
          <w:tcPr>
            <w:tcW w:w="1368"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Finance and insurance</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0.33</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0.34</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0.33</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0.35</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0.31</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0.44</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0.57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0.53</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0.50</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0.39</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0.44</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0.26</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r>
      <w:tr w:rsidR="00E97416" w:rsidRPr="004576B2" w:rsidTr="00F76D68">
        <w:trPr>
          <w:cantSplit/>
        </w:trPr>
        <w:tc>
          <w:tcPr>
            <w:tcW w:w="1368"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Real estate and rental and leasing; management of companies and enterprises</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0.02</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0.02</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0.02</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0.02</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0.02</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0.02</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0.02</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0.02</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0.02</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0.02</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0.02</w:t>
            </w:r>
          </w:p>
        </w:tc>
      </w:tr>
      <w:tr w:rsidR="00E97416" w:rsidRPr="004576B2" w:rsidTr="00F76D68">
        <w:trPr>
          <w:cantSplit/>
        </w:trPr>
        <w:tc>
          <w:tcPr>
            <w:tcW w:w="1368"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Professional, scientific, and technical services</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0.57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0.52</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0.50</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0.50</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0.41</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0.40</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0.35</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0.33</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r>
      <w:tr w:rsidR="00E97416" w:rsidRPr="004576B2" w:rsidTr="00F76D68">
        <w:trPr>
          <w:cantSplit/>
        </w:trPr>
        <w:tc>
          <w:tcPr>
            <w:tcW w:w="1368"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Educational services</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0.91</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0.91</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0.94</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0.93</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0.93</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0.91</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0.91</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0.92</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0.91</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0.91</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0.90</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0.89</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0.90</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0.90</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0.90</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0.90</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0.90</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0.90</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0.90</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0.90</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0.90</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0.90</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0.90</w:t>
            </w:r>
          </w:p>
        </w:tc>
      </w:tr>
      <w:tr w:rsidR="00E97416" w:rsidRPr="004576B2" w:rsidTr="00F76D68">
        <w:trPr>
          <w:cantSplit/>
        </w:trPr>
        <w:tc>
          <w:tcPr>
            <w:tcW w:w="1368"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Health care and social assistance</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0.90</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0.87</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0.84</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0.81</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0.80</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0.79</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0.77</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0.75</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0.76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0.76</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0.76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0.75</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0.74</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0.75</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0.75</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0.75</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0.73</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0.73</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0.75</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0.76</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0.77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0.78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0.78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0.79</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0.80</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0.80</w:t>
            </w:r>
          </w:p>
        </w:tc>
      </w:tr>
      <w:tr w:rsidR="00E97416" w:rsidRPr="004576B2" w:rsidTr="00F76D68">
        <w:trPr>
          <w:cantSplit/>
        </w:trPr>
        <w:tc>
          <w:tcPr>
            <w:tcW w:w="1368"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Arts, entertainment, and recreation</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0.41</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0.36</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0.35</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0.34</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0.31</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0.26</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0.26</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0.22</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0.22</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r>
      <w:tr w:rsidR="00E97416" w:rsidRPr="004576B2" w:rsidTr="00F76D68">
        <w:trPr>
          <w:cantSplit/>
        </w:trPr>
        <w:tc>
          <w:tcPr>
            <w:tcW w:w="1368"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Accommodation and food services</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0.22</w:t>
            </w:r>
          </w:p>
        </w:tc>
      </w:tr>
      <w:tr w:rsidR="00E97416" w:rsidRPr="004576B2" w:rsidTr="00F76D68">
        <w:trPr>
          <w:cantSplit/>
        </w:trPr>
        <w:tc>
          <w:tcPr>
            <w:tcW w:w="1368"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Other services, except public administration</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0.41</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0.40</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0.40</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0.41</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0.42</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0.39</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0.39</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0.36</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0.39</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0.39</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0.39</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0.40</w:t>
            </w:r>
          </w:p>
        </w:tc>
      </w:tr>
      <w:tr w:rsidR="00E97416" w:rsidRPr="004576B2" w:rsidTr="00F76D68">
        <w:trPr>
          <w:cantSplit/>
        </w:trPr>
        <w:tc>
          <w:tcPr>
            <w:tcW w:w="1368"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Public administration</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0.97</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0.97</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0.97</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0.99</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0.99</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0.99</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0.99</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0.98</w:t>
            </w:r>
          </w:p>
        </w:tc>
        <w:tc>
          <w:tcPr>
            <w:tcW w:w="520"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0.98</w:t>
            </w:r>
          </w:p>
        </w:tc>
        <w:tc>
          <w:tcPr>
            <w:tcW w:w="521" w:type="dxa"/>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0.98</w:t>
            </w:r>
          </w:p>
        </w:tc>
      </w:tr>
    </w:tbl>
    <w:p w:rsidR="00E97416" w:rsidRDefault="00E97416" w:rsidP="00E97416">
      <w:pPr>
        <w:spacing w:before="120" w:after="240"/>
        <w:rPr>
          <w:rFonts w:ascii="Arial" w:eastAsia="Garamond" w:hAnsi="Arial"/>
          <w:sz w:val="18"/>
          <w:lang w:val="en-GB"/>
        </w:rPr>
      </w:pPr>
      <w:r w:rsidRPr="00E97416">
        <w:rPr>
          <w:rFonts w:ascii="Arial" w:eastAsia="Garamond" w:hAnsi="Arial"/>
          <w:sz w:val="18"/>
          <w:lang w:val="en-GB"/>
        </w:rPr>
        <w:t>Source: Authors’ calculation based on data from INEGI. See Equation (1) in the text and</w:t>
      </w:r>
      <w:r>
        <w:rPr>
          <w:rFonts w:ascii="Arial" w:eastAsia="Garamond" w:hAnsi="Arial"/>
          <w:sz w:val="18"/>
          <w:lang w:val="en-GB"/>
        </w:rPr>
        <w:t xml:space="preserve"> </w:t>
      </w:r>
      <w:r w:rsidRPr="00E97416">
        <w:rPr>
          <w:rFonts w:ascii="Arial" w:eastAsia="Garamond" w:hAnsi="Arial"/>
          <w:sz w:val="18"/>
          <w:lang w:val="en-GB"/>
        </w:rPr>
        <w:t>section A1</w:t>
      </w:r>
      <w:r>
        <w:rPr>
          <w:rFonts w:ascii="Arial" w:eastAsia="Garamond" w:hAnsi="Arial"/>
          <w:sz w:val="18"/>
          <w:lang w:val="en-GB"/>
        </w:rPr>
        <w:t xml:space="preserve"> in this appendix</w:t>
      </w:r>
      <w:r w:rsidRPr="00E97416">
        <w:rPr>
          <w:rFonts w:ascii="Arial" w:eastAsia="Garamond" w:hAnsi="Arial"/>
          <w:sz w:val="18"/>
          <w:lang w:val="en-GB"/>
        </w:rPr>
        <w:t xml:space="preserve"> for details.</w:t>
      </w:r>
    </w:p>
    <w:p w:rsidR="00566BC9" w:rsidRDefault="00566BC9" w:rsidP="00E97416">
      <w:pPr>
        <w:spacing w:before="120" w:after="240"/>
        <w:rPr>
          <w:rFonts w:ascii="Arial" w:eastAsia="Garamond" w:hAnsi="Arial"/>
          <w:sz w:val="18"/>
          <w:lang w:val="en-GB"/>
        </w:rPr>
      </w:pPr>
    </w:p>
    <w:p w:rsidR="00E97416" w:rsidRPr="00E97416" w:rsidRDefault="00E97416" w:rsidP="00566BC9">
      <w:pPr>
        <w:spacing w:after="200" w:line="276" w:lineRule="auto"/>
        <w:rPr>
          <w:rFonts w:ascii="Arial" w:eastAsia="Garamond" w:hAnsi="Arial"/>
          <w:sz w:val="18"/>
          <w:lang w:val="en-GB"/>
        </w:rPr>
      </w:pPr>
      <w:r w:rsidRPr="00E97416">
        <w:rPr>
          <w:rFonts w:ascii="Garamond" w:eastAsia="Garamond" w:hAnsi="Garamond"/>
          <w:lang w:val="en-GB"/>
        </w:rPr>
        <w:br w:type="page"/>
      </w:r>
      <w:r w:rsidRPr="00E97416">
        <w:rPr>
          <w:rFonts w:ascii="Arial" w:eastAsia="Garamond" w:hAnsi="Arial"/>
          <w:sz w:val="18"/>
          <w:lang w:val="en-GB"/>
        </w:rPr>
        <w:lastRenderedPageBreak/>
        <w:t>Table A6: Wage share for the private business sector and its main subsectors, 1990–2015</w:t>
      </w:r>
    </w:p>
    <w:tbl>
      <w:tblPr>
        <w:tblW w:w="14898" w:type="dxa"/>
        <w:tblLayout w:type="fixed"/>
        <w:tblCellMar>
          <w:left w:w="28" w:type="dxa"/>
          <w:right w:w="28" w:type="dxa"/>
        </w:tblCellMar>
        <w:tblLook w:val="04A0" w:firstRow="1" w:lastRow="0" w:firstColumn="1" w:lastColumn="0" w:noHBand="0" w:noVBand="1"/>
      </w:tblPr>
      <w:tblGrid>
        <w:gridCol w:w="1368"/>
        <w:gridCol w:w="520"/>
        <w:gridCol w:w="520"/>
        <w:gridCol w:w="521"/>
        <w:gridCol w:w="520"/>
        <w:gridCol w:w="520"/>
        <w:gridCol w:w="521"/>
        <w:gridCol w:w="520"/>
        <w:gridCol w:w="521"/>
        <w:gridCol w:w="520"/>
        <w:gridCol w:w="520"/>
        <w:gridCol w:w="521"/>
        <w:gridCol w:w="520"/>
        <w:gridCol w:w="521"/>
        <w:gridCol w:w="520"/>
        <w:gridCol w:w="520"/>
        <w:gridCol w:w="521"/>
        <w:gridCol w:w="520"/>
        <w:gridCol w:w="520"/>
        <w:gridCol w:w="521"/>
        <w:gridCol w:w="520"/>
        <w:gridCol w:w="521"/>
        <w:gridCol w:w="520"/>
        <w:gridCol w:w="520"/>
        <w:gridCol w:w="521"/>
        <w:gridCol w:w="520"/>
        <w:gridCol w:w="521"/>
      </w:tblGrid>
      <w:tr w:rsidR="00E97416" w:rsidRPr="004576B2" w:rsidTr="00F76D68">
        <w:trPr>
          <w:cantSplit/>
        </w:trPr>
        <w:tc>
          <w:tcPr>
            <w:tcW w:w="1368"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p>
        </w:tc>
        <w:tc>
          <w:tcPr>
            <w:tcW w:w="52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1990</w:t>
            </w:r>
          </w:p>
        </w:tc>
        <w:tc>
          <w:tcPr>
            <w:tcW w:w="52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1991</w:t>
            </w:r>
          </w:p>
        </w:tc>
        <w:tc>
          <w:tcPr>
            <w:tcW w:w="521"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1992</w:t>
            </w:r>
          </w:p>
        </w:tc>
        <w:tc>
          <w:tcPr>
            <w:tcW w:w="52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1993</w:t>
            </w:r>
          </w:p>
        </w:tc>
        <w:tc>
          <w:tcPr>
            <w:tcW w:w="52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1994</w:t>
            </w:r>
          </w:p>
        </w:tc>
        <w:tc>
          <w:tcPr>
            <w:tcW w:w="521"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1995</w:t>
            </w:r>
          </w:p>
        </w:tc>
        <w:tc>
          <w:tcPr>
            <w:tcW w:w="52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1996</w:t>
            </w:r>
          </w:p>
        </w:tc>
        <w:tc>
          <w:tcPr>
            <w:tcW w:w="521"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1997</w:t>
            </w:r>
          </w:p>
        </w:tc>
        <w:tc>
          <w:tcPr>
            <w:tcW w:w="52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1998</w:t>
            </w:r>
          </w:p>
        </w:tc>
        <w:tc>
          <w:tcPr>
            <w:tcW w:w="52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1999</w:t>
            </w:r>
          </w:p>
        </w:tc>
        <w:tc>
          <w:tcPr>
            <w:tcW w:w="521"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2000</w:t>
            </w:r>
          </w:p>
        </w:tc>
        <w:tc>
          <w:tcPr>
            <w:tcW w:w="52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2001</w:t>
            </w:r>
          </w:p>
        </w:tc>
        <w:tc>
          <w:tcPr>
            <w:tcW w:w="521"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2002</w:t>
            </w:r>
          </w:p>
        </w:tc>
        <w:tc>
          <w:tcPr>
            <w:tcW w:w="52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2003</w:t>
            </w:r>
          </w:p>
        </w:tc>
        <w:tc>
          <w:tcPr>
            <w:tcW w:w="52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2004</w:t>
            </w:r>
          </w:p>
        </w:tc>
        <w:tc>
          <w:tcPr>
            <w:tcW w:w="521"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2005</w:t>
            </w:r>
          </w:p>
        </w:tc>
        <w:tc>
          <w:tcPr>
            <w:tcW w:w="52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2006</w:t>
            </w:r>
          </w:p>
        </w:tc>
        <w:tc>
          <w:tcPr>
            <w:tcW w:w="52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2007</w:t>
            </w:r>
          </w:p>
        </w:tc>
        <w:tc>
          <w:tcPr>
            <w:tcW w:w="521"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2008</w:t>
            </w:r>
          </w:p>
        </w:tc>
        <w:tc>
          <w:tcPr>
            <w:tcW w:w="52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2009</w:t>
            </w:r>
          </w:p>
        </w:tc>
        <w:tc>
          <w:tcPr>
            <w:tcW w:w="521"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2010</w:t>
            </w:r>
          </w:p>
        </w:tc>
        <w:tc>
          <w:tcPr>
            <w:tcW w:w="52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2011</w:t>
            </w:r>
          </w:p>
        </w:tc>
        <w:tc>
          <w:tcPr>
            <w:tcW w:w="52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2012</w:t>
            </w:r>
          </w:p>
        </w:tc>
        <w:tc>
          <w:tcPr>
            <w:tcW w:w="521"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2013</w:t>
            </w:r>
          </w:p>
        </w:tc>
        <w:tc>
          <w:tcPr>
            <w:tcW w:w="52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2014</w:t>
            </w:r>
          </w:p>
        </w:tc>
        <w:tc>
          <w:tcPr>
            <w:tcW w:w="521"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2015</w:t>
            </w:r>
          </w:p>
        </w:tc>
      </w:tr>
      <w:tr w:rsidR="00E97416" w:rsidRPr="004576B2" w:rsidTr="00F76D68">
        <w:trPr>
          <w:cantSplit/>
        </w:trPr>
        <w:tc>
          <w:tcPr>
            <w:tcW w:w="136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Total</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0.31</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0.26</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0.26</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0.26</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r>
      <w:tr w:rsidR="00E97416" w:rsidRPr="004576B2" w:rsidTr="00F76D68">
        <w:trPr>
          <w:cantSplit/>
        </w:trPr>
        <w:tc>
          <w:tcPr>
            <w:tcW w:w="136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Tradables</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0.26</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0.22</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0.20</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0.21</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0.22</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0.26</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0.26</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0.22</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0.21</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0.20</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0.19</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r>
      <w:tr w:rsidR="00E97416" w:rsidRPr="004576B2" w:rsidTr="00F76D68">
        <w:trPr>
          <w:cantSplit/>
        </w:trPr>
        <w:tc>
          <w:tcPr>
            <w:tcW w:w="136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Non-tradables</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0.31</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0.34</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0.35</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0.34</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0.31</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0.31</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0.31</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0.26</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0.26</w:t>
            </w:r>
          </w:p>
        </w:tc>
      </w:tr>
      <w:tr w:rsidR="00E97416" w:rsidRPr="004576B2" w:rsidTr="00F76D68">
        <w:trPr>
          <w:cantSplit/>
        </w:trPr>
        <w:tc>
          <w:tcPr>
            <w:tcW w:w="136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Agriculture</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0.16</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0.16</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0.14</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0.14</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0.15</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0.16</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0.19</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0.16</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0.16</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0.16</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0.16</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r>
      <w:tr w:rsidR="00E97416" w:rsidRPr="004576B2" w:rsidTr="00F76D68">
        <w:trPr>
          <w:cantSplit/>
        </w:trPr>
        <w:tc>
          <w:tcPr>
            <w:tcW w:w="136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Construction</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0.46</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0.46</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0.46</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0.41</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0.42</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0.45</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0.50</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0.51</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0.51</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0.48</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0.48</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0.46</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0.45</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0.45</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0.45</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0.45</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0.45</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0.44</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0.43</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0.43</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0.43</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0.43</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0.42</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0.42</w:t>
            </w:r>
          </w:p>
        </w:tc>
      </w:tr>
      <w:tr w:rsidR="00E97416" w:rsidRPr="004576B2" w:rsidTr="00F76D68">
        <w:trPr>
          <w:cantSplit/>
        </w:trPr>
        <w:tc>
          <w:tcPr>
            <w:tcW w:w="136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Manufacturing</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0.31</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0.22</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0.26</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0.21</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0.21</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0.19</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r>
      <w:tr w:rsidR="00E97416" w:rsidRPr="004576B2" w:rsidTr="00F76D68">
        <w:trPr>
          <w:cantSplit/>
        </w:trPr>
        <w:tc>
          <w:tcPr>
            <w:tcW w:w="136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Commerce</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0.21</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0.26</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0.26</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0.19</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0.16</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0.20</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0.21</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0.21</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0.19</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0.19</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0.19</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0.19</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0.19</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0.18</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0.16</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0.16</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0.16</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0.16</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0.15</w:t>
            </w:r>
          </w:p>
        </w:tc>
      </w:tr>
      <w:tr w:rsidR="00E97416" w:rsidRPr="004576B2" w:rsidTr="00F76D68">
        <w:trPr>
          <w:cantSplit/>
        </w:trPr>
        <w:tc>
          <w:tcPr>
            <w:tcW w:w="136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Transportation and warehousing</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0.31</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0.35</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0.33</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0.31</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0.31</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0.33</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0.33</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0.34</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0.33</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0.33</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0.31</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0.33</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0.31</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0.31</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r>
      <w:tr w:rsidR="00E97416" w:rsidRPr="004576B2" w:rsidTr="00F76D68">
        <w:trPr>
          <w:cantSplit/>
        </w:trPr>
        <w:tc>
          <w:tcPr>
            <w:tcW w:w="136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Information</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0.33</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0.33</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0.34</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0.34</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0.34</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0.33</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0.26</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r>
      <w:tr w:rsidR="00E97416" w:rsidRPr="004576B2" w:rsidTr="00F76D68">
        <w:trPr>
          <w:cantSplit/>
        </w:trPr>
        <w:tc>
          <w:tcPr>
            <w:tcW w:w="136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Finance and insurance</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0.33</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0.34</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0.33</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0.35</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0.31</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0.44</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0.57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0.53</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0.48</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0.50</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0.39</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0.44</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0.26</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0.26</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r>
      <w:tr w:rsidR="00E97416" w:rsidRPr="004576B2" w:rsidTr="00F76D68">
        <w:trPr>
          <w:cantSplit/>
        </w:trPr>
        <w:tc>
          <w:tcPr>
            <w:tcW w:w="136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Professional, scientific, and technical services</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0.57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0.52</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0.50</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0.50</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0.46</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0.41</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0.40</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0.35</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0.33</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0.29</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0.30</w:t>
            </w:r>
          </w:p>
        </w:tc>
      </w:tr>
      <w:tr w:rsidR="00E97416" w:rsidRPr="004576B2" w:rsidTr="00F76D68">
        <w:trPr>
          <w:cantSplit/>
        </w:trPr>
        <w:tc>
          <w:tcPr>
            <w:tcW w:w="136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Arts, entertainment, and recreation</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0.41</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0.36</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0.35</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0.34</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0.32</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0.31</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0.26</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0.26</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0.22</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0.22</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r>
      <w:tr w:rsidR="00E97416" w:rsidRPr="004576B2" w:rsidTr="00F76D68">
        <w:trPr>
          <w:cantSplit/>
        </w:trPr>
        <w:tc>
          <w:tcPr>
            <w:tcW w:w="136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Accommodation and food services</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0.28</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0.27</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0.25</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0.24</w:t>
            </w:r>
          </w:p>
        </w:tc>
        <w:tc>
          <w:tcPr>
            <w:tcW w:w="52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0.23</w:t>
            </w:r>
          </w:p>
        </w:tc>
        <w:tc>
          <w:tcPr>
            <w:tcW w:w="521"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0.22</w:t>
            </w:r>
          </w:p>
        </w:tc>
      </w:tr>
      <w:tr w:rsidR="00E97416" w:rsidRPr="004576B2" w:rsidTr="00F76D68">
        <w:trPr>
          <w:cantSplit/>
        </w:trPr>
        <w:tc>
          <w:tcPr>
            <w:tcW w:w="1368"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cs="Arial"/>
                <w:sz w:val="14"/>
                <w:szCs w:val="14"/>
                <w:lang w:val="en-GB"/>
              </w:rPr>
              <w:t> </w:t>
            </w:r>
            <w:r w:rsidRPr="00E97416">
              <w:rPr>
                <w:rFonts w:ascii="Arial" w:eastAsia="Garamond" w:hAnsi="Arial"/>
                <w:sz w:val="14"/>
                <w:szCs w:val="14"/>
                <w:lang w:val="en-GB"/>
              </w:rPr>
              <w:t>Other services</w:t>
            </w:r>
          </w:p>
        </w:tc>
        <w:tc>
          <w:tcPr>
            <w:tcW w:w="52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0.41</w:t>
            </w:r>
          </w:p>
        </w:tc>
        <w:tc>
          <w:tcPr>
            <w:tcW w:w="52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0.40</w:t>
            </w:r>
          </w:p>
        </w:tc>
        <w:tc>
          <w:tcPr>
            <w:tcW w:w="521"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0.40</w:t>
            </w:r>
          </w:p>
        </w:tc>
        <w:tc>
          <w:tcPr>
            <w:tcW w:w="52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0.41</w:t>
            </w:r>
          </w:p>
        </w:tc>
        <w:tc>
          <w:tcPr>
            <w:tcW w:w="52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0.42</w:t>
            </w:r>
          </w:p>
        </w:tc>
        <w:tc>
          <w:tcPr>
            <w:tcW w:w="521"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0.39</w:t>
            </w:r>
          </w:p>
        </w:tc>
        <w:tc>
          <w:tcPr>
            <w:tcW w:w="52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1"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0.39</w:t>
            </w:r>
          </w:p>
        </w:tc>
        <w:tc>
          <w:tcPr>
            <w:tcW w:w="52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1"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1"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0.37</w:t>
            </w:r>
          </w:p>
        </w:tc>
        <w:tc>
          <w:tcPr>
            <w:tcW w:w="52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0.36</w:t>
            </w:r>
          </w:p>
        </w:tc>
        <w:tc>
          <w:tcPr>
            <w:tcW w:w="521"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0.37</w:t>
            </w:r>
          </w:p>
        </w:tc>
        <w:tc>
          <w:tcPr>
            <w:tcW w:w="52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1"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1"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0.38</w:t>
            </w:r>
          </w:p>
        </w:tc>
        <w:tc>
          <w:tcPr>
            <w:tcW w:w="52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0.39</w:t>
            </w:r>
          </w:p>
        </w:tc>
        <w:tc>
          <w:tcPr>
            <w:tcW w:w="521"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0.39</w:t>
            </w:r>
          </w:p>
        </w:tc>
        <w:tc>
          <w:tcPr>
            <w:tcW w:w="52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0.39</w:t>
            </w:r>
          </w:p>
        </w:tc>
        <w:tc>
          <w:tcPr>
            <w:tcW w:w="521"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4"/>
                <w:szCs w:val="14"/>
                <w:lang w:val="en-GB"/>
              </w:rPr>
            </w:pPr>
            <w:r w:rsidRPr="00E97416">
              <w:rPr>
                <w:rFonts w:ascii="Arial" w:eastAsia="Garamond" w:hAnsi="Arial"/>
                <w:sz w:val="14"/>
                <w:szCs w:val="14"/>
                <w:lang w:val="en-GB"/>
              </w:rPr>
              <w:t>0.40</w:t>
            </w:r>
          </w:p>
        </w:tc>
      </w:tr>
    </w:tbl>
    <w:p w:rsidR="00E97416" w:rsidRDefault="00E97416" w:rsidP="00E97416">
      <w:pPr>
        <w:spacing w:before="120" w:after="240"/>
        <w:rPr>
          <w:rFonts w:ascii="Arial" w:eastAsia="Garamond" w:hAnsi="Arial"/>
          <w:sz w:val="18"/>
          <w:lang w:val="en-GB"/>
        </w:rPr>
      </w:pPr>
      <w:r w:rsidRPr="00E97416">
        <w:rPr>
          <w:rFonts w:ascii="Arial" w:eastAsia="Garamond" w:hAnsi="Arial"/>
          <w:sz w:val="18"/>
          <w:lang w:val="en-GB"/>
        </w:rPr>
        <w:t>Source: Authors’ calculation based on data from INEGI. See Equation (1) in the text and section A1</w:t>
      </w:r>
      <w:r>
        <w:rPr>
          <w:rFonts w:ascii="Arial" w:eastAsia="Garamond" w:hAnsi="Arial"/>
          <w:sz w:val="18"/>
          <w:lang w:val="en-GB"/>
        </w:rPr>
        <w:t xml:space="preserve"> in this appendix</w:t>
      </w:r>
      <w:r w:rsidRPr="00E97416">
        <w:rPr>
          <w:rFonts w:ascii="Arial" w:eastAsia="Garamond" w:hAnsi="Arial"/>
          <w:sz w:val="18"/>
          <w:lang w:val="en-GB"/>
        </w:rPr>
        <w:t xml:space="preserve"> for details.</w:t>
      </w:r>
    </w:p>
    <w:p w:rsidR="00566BC9" w:rsidRDefault="00566BC9" w:rsidP="00E97416">
      <w:pPr>
        <w:spacing w:before="120" w:after="240"/>
        <w:rPr>
          <w:rFonts w:ascii="Arial" w:eastAsia="Garamond" w:hAnsi="Arial"/>
          <w:sz w:val="18"/>
          <w:lang w:val="en-GB"/>
        </w:rPr>
      </w:pPr>
    </w:p>
    <w:p w:rsidR="00566BC9" w:rsidRDefault="00566BC9" w:rsidP="00E97416">
      <w:pPr>
        <w:spacing w:before="120" w:after="240"/>
        <w:rPr>
          <w:rFonts w:ascii="Arial" w:eastAsia="Garamond" w:hAnsi="Arial"/>
          <w:sz w:val="18"/>
          <w:lang w:val="en-GB"/>
        </w:rPr>
      </w:pPr>
    </w:p>
    <w:p w:rsidR="00566BC9" w:rsidRDefault="00566BC9" w:rsidP="00E97416">
      <w:pPr>
        <w:spacing w:before="120" w:after="240"/>
        <w:rPr>
          <w:rFonts w:ascii="Arial" w:eastAsia="Garamond" w:hAnsi="Arial"/>
          <w:sz w:val="18"/>
          <w:lang w:val="en-GB"/>
        </w:rPr>
      </w:pPr>
    </w:p>
    <w:p w:rsidR="00566BC9" w:rsidRDefault="00566BC9" w:rsidP="00E97416">
      <w:pPr>
        <w:spacing w:before="120" w:after="240"/>
        <w:rPr>
          <w:rFonts w:ascii="Arial" w:eastAsia="Garamond" w:hAnsi="Arial"/>
          <w:sz w:val="18"/>
          <w:lang w:val="en-GB"/>
        </w:rPr>
      </w:pPr>
    </w:p>
    <w:p w:rsidR="00566BC9" w:rsidRDefault="00566BC9" w:rsidP="00E97416">
      <w:pPr>
        <w:spacing w:before="120" w:after="240"/>
        <w:rPr>
          <w:rFonts w:ascii="Arial" w:eastAsia="Garamond" w:hAnsi="Arial"/>
          <w:sz w:val="18"/>
          <w:lang w:val="en-GB"/>
        </w:rPr>
      </w:pPr>
    </w:p>
    <w:p w:rsidR="00566BC9" w:rsidRDefault="00566BC9" w:rsidP="00E97416">
      <w:pPr>
        <w:spacing w:before="120" w:after="240"/>
        <w:rPr>
          <w:rFonts w:ascii="Arial" w:eastAsia="Garamond" w:hAnsi="Arial"/>
          <w:sz w:val="18"/>
          <w:lang w:val="en-GB"/>
        </w:rPr>
      </w:pPr>
    </w:p>
    <w:p w:rsidR="00566BC9" w:rsidRDefault="00566BC9" w:rsidP="00E97416">
      <w:pPr>
        <w:spacing w:before="120" w:after="240"/>
        <w:rPr>
          <w:rFonts w:ascii="Arial" w:eastAsia="Garamond" w:hAnsi="Arial"/>
          <w:sz w:val="18"/>
          <w:lang w:val="en-GB"/>
        </w:rPr>
      </w:pPr>
    </w:p>
    <w:p w:rsidR="00566BC9" w:rsidRDefault="00566BC9" w:rsidP="00E97416">
      <w:pPr>
        <w:spacing w:before="120" w:after="240"/>
        <w:rPr>
          <w:rFonts w:ascii="Arial" w:eastAsia="Garamond" w:hAnsi="Arial"/>
          <w:sz w:val="18"/>
          <w:lang w:val="en-GB"/>
        </w:rPr>
      </w:pPr>
    </w:p>
    <w:p w:rsidR="00566BC9" w:rsidRDefault="00566BC9" w:rsidP="00E97416">
      <w:pPr>
        <w:spacing w:before="120" w:after="240"/>
        <w:rPr>
          <w:rFonts w:ascii="Arial" w:eastAsia="Garamond" w:hAnsi="Arial"/>
          <w:sz w:val="18"/>
          <w:lang w:val="en-GB"/>
        </w:rPr>
      </w:pPr>
    </w:p>
    <w:p w:rsidR="00566BC9" w:rsidRDefault="00566BC9" w:rsidP="00E97416">
      <w:pPr>
        <w:spacing w:before="120" w:after="240"/>
        <w:rPr>
          <w:rFonts w:ascii="Arial" w:eastAsia="Garamond" w:hAnsi="Arial"/>
          <w:sz w:val="18"/>
          <w:lang w:val="en-GB"/>
        </w:rPr>
      </w:pPr>
    </w:p>
    <w:p w:rsidR="00E97416" w:rsidRPr="00E97416" w:rsidRDefault="00E97416" w:rsidP="00E97416">
      <w:pPr>
        <w:spacing w:before="120" w:after="120"/>
        <w:rPr>
          <w:rFonts w:ascii="Arial" w:eastAsia="Garamond" w:hAnsi="Arial"/>
          <w:sz w:val="18"/>
          <w:lang w:val="en-GB"/>
        </w:rPr>
      </w:pPr>
      <w:r w:rsidRPr="00E97416">
        <w:rPr>
          <w:rFonts w:ascii="Arial" w:eastAsia="Garamond" w:hAnsi="Arial"/>
          <w:sz w:val="18"/>
          <w:lang w:val="en-GB"/>
        </w:rPr>
        <w:lastRenderedPageBreak/>
        <w:t xml:space="preserve">Table A7: </w:t>
      </w:r>
      <w:r w:rsidRPr="00E97416">
        <w:rPr>
          <w:rFonts w:ascii="Arial" w:eastAsia="Garamond" w:hAnsi="Arial"/>
          <w:i/>
          <w:sz w:val="18"/>
          <w:lang w:val="en-GB"/>
        </w:rPr>
        <w:t>LIS1</w:t>
      </w:r>
      <w:r w:rsidRPr="00E97416">
        <w:rPr>
          <w:rFonts w:ascii="Arial" w:eastAsia="Garamond" w:hAnsi="Arial"/>
          <w:sz w:val="18"/>
          <w:lang w:val="en-GB"/>
        </w:rPr>
        <w:t xml:space="preserve"> for the whole economy and its main sectors, 1995–2015</w:t>
      </w:r>
    </w:p>
    <w:tbl>
      <w:tblPr>
        <w:tblW w:w="14778" w:type="dxa"/>
        <w:tblLayout w:type="fixed"/>
        <w:tblLook w:val="04A0" w:firstRow="1" w:lastRow="0" w:firstColumn="1" w:lastColumn="0" w:noHBand="0" w:noVBand="1"/>
      </w:tblPr>
      <w:tblGrid>
        <w:gridCol w:w="1548"/>
        <w:gridCol w:w="630"/>
        <w:gridCol w:w="630"/>
        <w:gridCol w:w="630"/>
        <w:gridCol w:w="630"/>
        <w:gridCol w:w="630"/>
        <w:gridCol w:w="630"/>
        <w:gridCol w:w="630"/>
        <w:gridCol w:w="630"/>
        <w:gridCol w:w="630"/>
        <w:gridCol w:w="630"/>
        <w:gridCol w:w="630"/>
        <w:gridCol w:w="630"/>
        <w:gridCol w:w="630"/>
        <w:gridCol w:w="630"/>
        <w:gridCol w:w="630"/>
        <w:gridCol w:w="630"/>
        <w:gridCol w:w="630"/>
        <w:gridCol w:w="630"/>
        <w:gridCol w:w="630"/>
        <w:gridCol w:w="630"/>
        <w:gridCol w:w="630"/>
      </w:tblGrid>
      <w:tr w:rsidR="00E97416" w:rsidRPr="004576B2" w:rsidTr="00F76D68">
        <w:trPr>
          <w:cantSplit/>
        </w:trPr>
        <w:tc>
          <w:tcPr>
            <w:tcW w:w="1548"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1995</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1996</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1997</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1998</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1999</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2000</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2001</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2002</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2003</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2004</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2005</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2006</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2007</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2008</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2009</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2010</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2011</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2012</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2013</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2014</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2015</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Total</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Tradables</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0.19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0.17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0.17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0.18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0.18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Non-tradables</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Agriculture, forestry, fishing, and hunting</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Mining, quarrying, and oil and gas extraction</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0.10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0.11</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Utilities</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0.19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0.19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0.18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Construction</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0.50</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Manufacturing</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0.19</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Wholesale trade and retail trade</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Transportation and warehousing</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Information and cultural industries</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Finance and insurance</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Real estate and rental and leasing; management of companies and enterprises</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0.02</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Professional, scientific, and technical services</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Educational services</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0.92</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Health care and social assistance</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0.88</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Arts, entertainment, and recreation</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Accommodation and food services</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Other services, except public administration</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0.50</w:t>
            </w:r>
          </w:p>
        </w:tc>
      </w:tr>
      <w:tr w:rsidR="00E97416" w:rsidRPr="004576B2" w:rsidTr="00F76D68">
        <w:trPr>
          <w:cantSplit/>
        </w:trPr>
        <w:tc>
          <w:tcPr>
            <w:tcW w:w="1548"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Public administration</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0.99</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0.98</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0.98</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0.98</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0.99</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0.99</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1.00</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1.00</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1.00</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1.00</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0.99</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0.98</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0.98</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0.99</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0.98</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0.98</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0.98</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0.98</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0.98</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0.98</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0.98</w:t>
            </w:r>
          </w:p>
        </w:tc>
      </w:tr>
    </w:tbl>
    <w:p w:rsidR="00566BC9" w:rsidRDefault="00E97416" w:rsidP="00E97416">
      <w:pPr>
        <w:spacing w:before="120" w:after="240"/>
        <w:rPr>
          <w:rFonts w:ascii="Arial" w:eastAsia="Garamond" w:hAnsi="Arial"/>
          <w:sz w:val="18"/>
          <w:lang w:val="en-GB"/>
        </w:rPr>
      </w:pPr>
      <w:r w:rsidRPr="00E97416">
        <w:rPr>
          <w:rFonts w:ascii="Arial" w:eastAsia="Garamond" w:hAnsi="Arial"/>
          <w:sz w:val="18"/>
          <w:lang w:val="en-GB"/>
        </w:rPr>
        <w:t>Source: Authors’ calculation based on data from INEGI. See Equation (1) in the text and section A1</w:t>
      </w:r>
      <w:r>
        <w:rPr>
          <w:rFonts w:ascii="Arial" w:eastAsia="Garamond" w:hAnsi="Arial"/>
          <w:sz w:val="18"/>
          <w:lang w:val="en-GB"/>
        </w:rPr>
        <w:t xml:space="preserve"> in this appendix</w:t>
      </w:r>
      <w:r w:rsidRPr="00E97416">
        <w:rPr>
          <w:rFonts w:ascii="Arial" w:eastAsia="Garamond" w:hAnsi="Arial"/>
          <w:sz w:val="18"/>
          <w:lang w:val="en-GB"/>
        </w:rPr>
        <w:t xml:space="preserve"> for details.</w:t>
      </w:r>
    </w:p>
    <w:p w:rsidR="00E97416" w:rsidRPr="00E97416" w:rsidRDefault="00E97416" w:rsidP="00E97416">
      <w:pPr>
        <w:spacing w:before="120" w:after="240"/>
        <w:rPr>
          <w:rFonts w:ascii="Arial" w:eastAsia="Garamond" w:hAnsi="Arial"/>
          <w:sz w:val="18"/>
          <w:lang w:val="en-GB"/>
        </w:rPr>
      </w:pPr>
      <w:r w:rsidRPr="00E97416">
        <w:rPr>
          <w:rFonts w:ascii="Arial" w:eastAsia="Garamond" w:hAnsi="Arial"/>
          <w:sz w:val="18"/>
          <w:lang w:val="en-GB"/>
        </w:rPr>
        <w:br w:type="page"/>
      </w:r>
      <w:r w:rsidRPr="00E97416">
        <w:rPr>
          <w:rFonts w:ascii="Arial" w:eastAsia="Garamond" w:hAnsi="Arial"/>
          <w:sz w:val="18"/>
          <w:lang w:val="en-GB"/>
        </w:rPr>
        <w:lastRenderedPageBreak/>
        <w:t xml:space="preserve">Table A8: </w:t>
      </w:r>
      <w:r w:rsidRPr="00E97416">
        <w:rPr>
          <w:rFonts w:ascii="Arial" w:eastAsia="Garamond" w:hAnsi="Arial"/>
          <w:i/>
          <w:sz w:val="18"/>
          <w:lang w:val="en-GB"/>
        </w:rPr>
        <w:t>LIS1</w:t>
      </w:r>
      <w:r w:rsidRPr="00E97416">
        <w:rPr>
          <w:rFonts w:ascii="Arial" w:eastAsia="Garamond" w:hAnsi="Arial"/>
          <w:sz w:val="18"/>
          <w:lang w:val="en-GB"/>
        </w:rPr>
        <w:t xml:space="preserve"> for the private business sector and its main subsectors, 1995–2015</w:t>
      </w:r>
    </w:p>
    <w:tbl>
      <w:tblPr>
        <w:tblW w:w="14778" w:type="dxa"/>
        <w:tblLayout w:type="fixed"/>
        <w:tblLook w:val="04A0" w:firstRow="1" w:lastRow="0" w:firstColumn="1" w:lastColumn="0" w:noHBand="0" w:noVBand="1"/>
      </w:tblPr>
      <w:tblGrid>
        <w:gridCol w:w="1548"/>
        <w:gridCol w:w="630"/>
        <w:gridCol w:w="630"/>
        <w:gridCol w:w="630"/>
        <w:gridCol w:w="630"/>
        <w:gridCol w:w="630"/>
        <w:gridCol w:w="630"/>
        <w:gridCol w:w="630"/>
        <w:gridCol w:w="630"/>
        <w:gridCol w:w="630"/>
        <w:gridCol w:w="630"/>
        <w:gridCol w:w="630"/>
        <w:gridCol w:w="630"/>
        <w:gridCol w:w="630"/>
        <w:gridCol w:w="630"/>
        <w:gridCol w:w="630"/>
        <w:gridCol w:w="630"/>
        <w:gridCol w:w="630"/>
        <w:gridCol w:w="630"/>
        <w:gridCol w:w="630"/>
        <w:gridCol w:w="630"/>
        <w:gridCol w:w="630"/>
      </w:tblGrid>
      <w:tr w:rsidR="00E97416" w:rsidRPr="004576B2" w:rsidTr="00F76D68">
        <w:trPr>
          <w:cantSplit/>
        </w:trPr>
        <w:tc>
          <w:tcPr>
            <w:tcW w:w="1548"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1995</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1996</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1997</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1998</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1999</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2000</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2001</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2002</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2003</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2004</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2005</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2006</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2007</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2008</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2009</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2010</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2011</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2012</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2013</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2014</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2015</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Total</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Tradables</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0.21</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Non-tradables</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Agriculture</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Construction</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0.50</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Manufacturing</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0.19</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Commerce</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Transportation and warehousing</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 xml:space="preserve">Information  </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Finance and insurance</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Professional, scientific, and technical services</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Arts, entertainment, and recreation</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Accommodation and food services</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r>
      <w:tr w:rsidR="00E97416" w:rsidRPr="004576B2" w:rsidTr="00F76D68">
        <w:trPr>
          <w:cantSplit/>
        </w:trPr>
        <w:tc>
          <w:tcPr>
            <w:tcW w:w="1548"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Other services</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0.51</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0.49</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0.49</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0.50</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0.49</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0.49</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0.49</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0.49</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0.48</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0.48</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0.48</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0.48</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0.49</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0.48</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0.49</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0.48</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0.48</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0.49</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0.49</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0.49</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0.50</w:t>
            </w:r>
          </w:p>
        </w:tc>
      </w:tr>
    </w:tbl>
    <w:p w:rsidR="00E97416" w:rsidRPr="00E97416" w:rsidRDefault="00E97416" w:rsidP="00E97416">
      <w:pPr>
        <w:spacing w:before="120" w:after="240"/>
        <w:rPr>
          <w:rFonts w:ascii="Arial" w:eastAsia="Garamond" w:hAnsi="Arial"/>
          <w:sz w:val="18"/>
          <w:lang w:val="en-GB"/>
        </w:rPr>
      </w:pPr>
      <w:r w:rsidRPr="00E97416">
        <w:rPr>
          <w:rFonts w:ascii="Arial" w:eastAsia="Garamond" w:hAnsi="Arial"/>
          <w:sz w:val="18"/>
          <w:lang w:val="en-GB"/>
        </w:rPr>
        <w:t>Source: Authors’ calculation based on data from INEGI. See Equation (1) in the text and section A1</w:t>
      </w:r>
      <w:r>
        <w:rPr>
          <w:rFonts w:ascii="Arial" w:eastAsia="Garamond" w:hAnsi="Arial"/>
          <w:sz w:val="18"/>
          <w:lang w:val="en-GB"/>
        </w:rPr>
        <w:t xml:space="preserve"> in this appendix</w:t>
      </w:r>
      <w:r w:rsidRPr="00E97416">
        <w:rPr>
          <w:rFonts w:ascii="Arial" w:eastAsia="Garamond" w:hAnsi="Arial"/>
          <w:sz w:val="18"/>
          <w:lang w:val="en-GB"/>
        </w:rPr>
        <w:t xml:space="preserve"> for details.</w:t>
      </w:r>
    </w:p>
    <w:p w:rsidR="00566BC9" w:rsidRDefault="00566BC9" w:rsidP="00E97416">
      <w:pPr>
        <w:spacing w:before="120" w:after="120"/>
        <w:rPr>
          <w:rFonts w:ascii="Arial" w:eastAsia="Garamond" w:hAnsi="Arial"/>
          <w:sz w:val="18"/>
          <w:lang w:val="en-GB"/>
        </w:rPr>
      </w:pPr>
    </w:p>
    <w:p w:rsidR="00566BC9" w:rsidRDefault="00566BC9" w:rsidP="00E97416">
      <w:pPr>
        <w:spacing w:before="120" w:after="120"/>
        <w:rPr>
          <w:rFonts w:ascii="Arial" w:eastAsia="Garamond" w:hAnsi="Arial"/>
          <w:sz w:val="18"/>
          <w:lang w:val="en-GB"/>
        </w:rPr>
      </w:pPr>
    </w:p>
    <w:p w:rsidR="00566BC9" w:rsidRDefault="00566BC9" w:rsidP="00E97416">
      <w:pPr>
        <w:spacing w:before="120" w:after="120"/>
        <w:rPr>
          <w:rFonts w:ascii="Arial" w:eastAsia="Garamond" w:hAnsi="Arial"/>
          <w:sz w:val="18"/>
          <w:lang w:val="en-GB"/>
        </w:rPr>
      </w:pPr>
    </w:p>
    <w:p w:rsidR="00566BC9" w:rsidRDefault="00566BC9" w:rsidP="00E97416">
      <w:pPr>
        <w:spacing w:before="120" w:after="120"/>
        <w:rPr>
          <w:rFonts w:ascii="Arial" w:eastAsia="Garamond" w:hAnsi="Arial"/>
          <w:sz w:val="18"/>
          <w:lang w:val="en-GB"/>
        </w:rPr>
      </w:pPr>
    </w:p>
    <w:p w:rsidR="00566BC9" w:rsidRDefault="00566BC9" w:rsidP="00E97416">
      <w:pPr>
        <w:spacing w:before="120" w:after="120"/>
        <w:rPr>
          <w:rFonts w:ascii="Arial" w:eastAsia="Garamond" w:hAnsi="Arial"/>
          <w:sz w:val="18"/>
          <w:lang w:val="en-GB"/>
        </w:rPr>
      </w:pPr>
    </w:p>
    <w:p w:rsidR="00566BC9" w:rsidRDefault="00566BC9" w:rsidP="00E97416">
      <w:pPr>
        <w:spacing w:before="120" w:after="120"/>
        <w:rPr>
          <w:rFonts w:ascii="Arial" w:eastAsia="Garamond" w:hAnsi="Arial"/>
          <w:sz w:val="18"/>
          <w:lang w:val="en-GB"/>
        </w:rPr>
      </w:pPr>
    </w:p>
    <w:p w:rsidR="00566BC9" w:rsidRDefault="00566BC9" w:rsidP="00E97416">
      <w:pPr>
        <w:spacing w:before="120" w:after="120"/>
        <w:rPr>
          <w:rFonts w:ascii="Arial" w:eastAsia="Garamond" w:hAnsi="Arial"/>
          <w:sz w:val="18"/>
          <w:lang w:val="en-GB"/>
        </w:rPr>
      </w:pPr>
    </w:p>
    <w:p w:rsidR="00566BC9" w:rsidRDefault="00566BC9" w:rsidP="00E97416">
      <w:pPr>
        <w:spacing w:before="120" w:after="120"/>
        <w:rPr>
          <w:rFonts w:ascii="Arial" w:eastAsia="Garamond" w:hAnsi="Arial"/>
          <w:sz w:val="18"/>
          <w:lang w:val="en-GB"/>
        </w:rPr>
      </w:pPr>
    </w:p>
    <w:p w:rsidR="00566BC9" w:rsidRDefault="00566BC9" w:rsidP="00E97416">
      <w:pPr>
        <w:spacing w:before="120" w:after="120"/>
        <w:rPr>
          <w:rFonts w:ascii="Arial" w:eastAsia="Garamond" w:hAnsi="Arial"/>
          <w:sz w:val="18"/>
          <w:lang w:val="en-GB"/>
        </w:rPr>
      </w:pPr>
    </w:p>
    <w:p w:rsidR="00566BC9" w:rsidRDefault="00566BC9" w:rsidP="00E97416">
      <w:pPr>
        <w:spacing w:before="120" w:after="120"/>
        <w:rPr>
          <w:rFonts w:ascii="Arial" w:eastAsia="Garamond" w:hAnsi="Arial"/>
          <w:sz w:val="18"/>
          <w:lang w:val="en-GB"/>
        </w:rPr>
      </w:pPr>
    </w:p>
    <w:p w:rsidR="00566BC9" w:rsidRDefault="00566BC9" w:rsidP="00E97416">
      <w:pPr>
        <w:spacing w:before="120" w:after="120"/>
        <w:rPr>
          <w:rFonts w:ascii="Arial" w:eastAsia="Garamond" w:hAnsi="Arial"/>
          <w:sz w:val="18"/>
          <w:lang w:val="en-GB"/>
        </w:rPr>
      </w:pPr>
    </w:p>
    <w:p w:rsidR="00566BC9" w:rsidRDefault="00566BC9" w:rsidP="00E97416">
      <w:pPr>
        <w:spacing w:before="120" w:after="120"/>
        <w:rPr>
          <w:rFonts w:ascii="Arial" w:eastAsia="Garamond" w:hAnsi="Arial"/>
          <w:sz w:val="18"/>
          <w:lang w:val="en-GB"/>
        </w:rPr>
      </w:pPr>
    </w:p>
    <w:p w:rsidR="00E97416" w:rsidRPr="00E97416" w:rsidRDefault="00E97416" w:rsidP="00E97416">
      <w:pPr>
        <w:spacing w:before="120" w:after="120"/>
        <w:rPr>
          <w:rFonts w:ascii="Arial" w:eastAsia="Garamond" w:hAnsi="Arial"/>
          <w:sz w:val="18"/>
          <w:lang w:val="en-GB"/>
        </w:rPr>
      </w:pPr>
      <w:r w:rsidRPr="00E97416">
        <w:rPr>
          <w:rFonts w:ascii="Arial" w:eastAsia="Garamond" w:hAnsi="Arial"/>
          <w:sz w:val="18"/>
          <w:lang w:val="en-GB"/>
        </w:rPr>
        <w:br w:type="page"/>
      </w:r>
      <w:r w:rsidRPr="00E97416">
        <w:rPr>
          <w:rFonts w:ascii="Arial" w:eastAsia="Garamond" w:hAnsi="Arial"/>
          <w:sz w:val="18"/>
          <w:lang w:val="en-GB"/>
        </w:rPr>
        <w:lastRenderedPageBreak/>
        <w:t xml:space="preserve">Table A9: </w:t>
      </w:r>
      <w:r w:rsidRPr="00E97416">
        <w:rPr>
          <w:rFonts w:ascii="Arial" w:eastAsia="Garamond" w:hAnsi="Arial"/>
          <w:i/>
          <w:sz w:val="18"/>
          <w:lang w:val="en-GB"/>
        </w:rPr>
        <w:t>LIS2</w:t>
      </w:r>
      <w:r w:rsidRPr="00E97416">
        <w:rPr>
          <w:rFonts w:ascii="Arial" w:eastAsia="Garamond" w:hAnsi="Arial"/>
          <w:sz w:val="18"/>
          <w:lang w:val="en-GB"/>
        </w:rPr>
        <w:t xml:space="preserve"> for the whole economy and its main sectors, 1995–2015</w:t>
      </w:r>
    </w:p>
    <w:tbl>
      <w:tblPr>
        <w:tblW w:w="14778" w:type="dxa"/>
        <w:tblLayout w:type="fixed"/>
        <w:tblLook w:val="04A0" w:firstRow="1" w:lastRow="0" w:firstColumn="1" w:lastColumn="0" w:noHBand="0" w:noVBand="1"/>
      </w:tblPr>
      <w:tblGrid>
        <w:gridCol w:w="1548"/>
        <w:gridCol w:w="630"/>
        <w:gridCol w:w="630"/>
        <w:gridCol w:w="630"/>
        <w:gridCol w:w="630"/>
        <w:gridCol w:w="630"/>
        <w:gridCol w:w="630"/>
        <w:gridCol w:w="630"/>
        <w:gridCol w:w="630"/>
        <w:gridCol w:w="630"/>
        <w:gridCol w:w="630"/>
        <w:gridCol w:w="630"/>
        <w:gridCol w:w="630"/>
        <w:gridCol w:w="630"/>
        <w:gridCol w:w="630"/>
        <w:gridCol w:w="630"/>
        <w:gridCol w:w="630"/>
        <w:gridCol w:w="630"/>
        <w:gridCol w:w="630"/>
        <w:gridCol w:w="630"/>
        <w:gridCol w:w="630"/>
        <w:gridCol w:w="630"/>
      </w:tblGrid>
      <w:tr w:rsidR="00E97416" w:rsidRPr="004576B2" w:rsidTr="00F76D68">
        <w:trPr>
          <w:cantSplit/>
        </w:trPr>
        <w:tc>
          <w:tcPr>
            <w:tcW w:w="1548"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 </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1995</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1996</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1997</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1998</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1999</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2000</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2001</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2002</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2003</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2004</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2005</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2006</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2007</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2008</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2009</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2010</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2011</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2012</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2013</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2014</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2015</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Total</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Tradables</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0.18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0.18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0.16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0.16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0.17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0.17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0.18</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Non-tradables</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Agriculture, forestry, fishing, and hunting</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0.21</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Mining, quarrying, and oil and gas extraction</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0.10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0.11</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Utilities</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0.19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0.19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0.18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Construction</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0.70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0.70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Manufacturing</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0.19</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Wholesale trade and retail trade</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Transportation and warehousing</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Information and cultural industries</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Finance and insurance</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Real estate and rental and leasing; management of companies and enterprises</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0.03</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Professional, scientific, and technical services</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0.73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0.76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0.48</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Educational services</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0.93</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Health care and social assistance</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0.89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0.90</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Arts, entertainment, and recreation</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Accommodation and food services</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Other services, except public administration</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r>
      <w:tr w:rsidR="00E97416" w:rsidRPr="004576B2" w:rsidTr="00F76D68">
        <w:trPr>
          <w:cantSplit/>
        </w:trPr>
        <w:tc>
          <w:tcPr>
            <w:tcW w:w="1548"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Public administration</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0.99</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0.99</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0.98</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0.99</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1.00</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0.99</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1.00</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1.00</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1.00</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1.00</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0.99</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0.98</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0.98</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0.99</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0.98</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0.98</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0.98</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0.98</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0.98</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0.98</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0.98</w:t>
            </w:r>
          </w:p>
        </w:tc>
      </w:tr>
    </w:tbl>
    <w:p w:rsidR="00566BC9" w:rsidRDefault="00E97416" w:rsidP="00566BC9">
      <w:pPr>
        <w:spacing w:before="120" w:after="240"/>
        <w:rPr>
          <w:rFonts w:ascii="Arial" w:eastAsia="Garamond" w:hAnsi="Arial"/>
          <w:sz w:val="18"/>
          <w:lang w:val="en-GB"/>
        </w:rPr>
      </w:pPr>
      <w:r w:rsidRPr="00E97416">
        <w:rPr>
          <w:rFonts w:ascii="Arial" w:eastAsia="Garamond" w:hAnsi="Arial"/>
          <w:sz w:val="18"/>
          <w:lang w:val="en-GB"/>
        </w:rPr>
        <w:t>Source: Authors’ calculation based on data from INEGI. See Equation (1) in the text and section A1</w:t>
      </w:r>
      <w:r>
        <w:rPr>
          <w:rFonts w:ascii="Arial" w:eastAsia="Garamond" w:hAnsi="Arial"/>
          <w:sz w:val="18"/>
          <w:lang w:val="en-GB"/>
        </w:rPr>
        <w:t xml:space="preserve"> in this appendix</w:t>
      </w:r>
      <w:r w:rsidRPr="00E97416">
        <w:rPr>
          <w:rFonts w:ascii="Arial" w:eastAsia="Garamond" w:hAnsi="Arial"/>
          <w:sz w:val="18"/>
          <w:lang w:val="en-GB"/>
        </w:rPr>
        <w:t xml:space="preserve"> for details.</w:t>
      </w:r>
    </w:p>
    <w:p w:rsidR="000C7BB5" w:rsidRPr="00E97416" w:rsidRDefault="00E97416" w:rsidP="00566BC9">
      <w:pPr>
        <w:spacing w:before="120" w:after="240"/>
        <w:rPr>
          <w:rFonts w:ascii="Arial" w:eastAsia="Garamond" w:hAnsi="Arial"/>
          <w:sz w:val="18"/>
          <w:lang w:val="en-GB"/>
        </w:rPr>
      </w:pPr>
      <w:r w:rsidRPr="00E97416">
        <w:rPr>
          <w:rFonts w:ascii="Arial" w:eastAsia="Garamond" w:hAnsi="Arial"/>
          <w:sz w:val="18"/>
          <w:lang w:val="en-GB"/>
        </w:rPr>
        <w:br w:type="page"/>
      </w:r>
      <w:r w:rsidRPr="00E97416">
        <w:rPr>
          <w:rFonts w:ascii="Arial" w:eastAsia="Garamond" w:hAnsi="Arial"/>
          <w:sz w:val="18"/>
          <w:lang w:val="en-GB"/>
        </w:rPr>
        <w:lastRenderedPageBreak/>
        <w:t xml:space="preserve">Table A10: </w:t>
      </w:r>
      <w:r w:rsidRPr="00E97416">
        <w:rPr>
          <w:rFonts w:ascii="Arial" w:eastAsia="Garamond" w:hAnsi="Arial"/>
          <w:i/>
          <w:sz w:val="18"/>
          <w:lang w:val="en-GB"/>
        </w:rPr>
        <w:t>LIS2</w:t>
      </w:r>
      <w:r w:rsidRPr="00E97416">
        <w:rPr>
          <w:rFonts w:ascii="Arial" w:eastAsia="Garamond" w:hAnsi="Arial"/>
          <w:sz w:val="18"/>
          <w:lang w:val="en-GB"/>
        </w:rPr>
        <w:t xml:space="preserve"> for the private business sector and its main subsectors, 1995–2015</w:t>
      </w:r>
    </w:p>
    <w:tbl>
      <w:tblPr>
        <w:tblW w:w="14778" w:type="dxa"/>
        <w:tblLayout w:type="fixed"/>
        <w:tblLook w:val="04A0" w:firstRow="1" w:lastRow="0" w:firstColumn="1" w:lastColumn="0" w:noHBand="0" w:noVBand="1"/>
      </w:tblPr>
      <w:tblGrid>
        <w:gridCol w:w="1548"/>
        <w:gridCol w:w="630"/>
        <w:gridCol w:w="630"/>
        <w:gridCol w:w="630"/>
        <w:gridCol w:w="630"/>
        <w:gridCol w:w="630"/>
        <w:gridCol w:w="630"/>
        <w:gridCol w:w="630"/>
        <w:gridCol w:w="630"/>
        <w:gridCol w:w="630"/>
        <w:gridCol w:w="630"/>
        <w:gridCol w:w="630"/>
        <w:gridCol w:w="630"/>
        <w:gridCol w:w="630"/>
        <w:gridCol w:w="630"/>
        <w:gridCol w:w="630"/>
        <w:gridCol w:w="630"/>
        <w:gridCol w:w="630"/>
        <w:gridCol w:w="630"/>
        <w:gridCol w:w="630"/>
        <w:gridCol w:w="630"/>
        <w:gridCol w:w="630"/>
      </w:tblGrid>
      <w:tr w:rsidR="00E97416" w:rsidRPr="004576B2" w:rsidTr="00F76D68">
        <w:trPr>
          <w:cantSplit/>
        </w:trPr>
        <w:tc>
          <w:tcPr>
            <w:tcW w:w="1548"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1995</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1996</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1997</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1998</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1999</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2000</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2001</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2002</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2003</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2004</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2005</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2006</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2007</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2008</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2009</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2010</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2011</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2012</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2013</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2014</w:t>
            </w:r>
          </w:p>
        </w:tc>
        <w:tc>
          <w:tcPr>
            <w:tcW w:w="630" w:type="dxa"/>
            <w:tcBorders>
              <w:top w:val="single" w:sz="4" w:space="0" w:color="auto"/>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2015</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Total</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Tradables</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Non-tradables</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Agriculture</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0.21</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Construction</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0.70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0.70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Manufacturing</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0.19</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Commerce</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Transportation and warehousing</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 xml:space="preserve">Information  </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0.25</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Finance and insurance</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0.28</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Professional, scientific, and technical services</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0.73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0.76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0.61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0.48</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Arts, entertainment, and recreation</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0.40</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0.32</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0.38</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r>
      <w:tr w:rsidR="00E97416" w:rsidRPr="004576B2" w:rsidTr="00F76D68">
        <w:trPr>
          <w:cantSplit/>
        </w:trPr>
        <w:tc>
          <w:tcPr>
            <w:tcW w:w="1548"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Accommodation and food services</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0.41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0.39</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0.34</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0.31</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0.37</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0.36</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0.35</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c>
          <w:tcPr>
            <w:tcW w:w="630" w:type="dxa"/>
            <w:tcBorders>
              <w:top w:val="nil"/>
              <w:left w:val="nil"/>
              <w:bottom w:val="nil"/>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0.33</w:t>
            </w:r>
          </w:p>
        </w:tc>
      </w:tr>
      <w:tr w:rsidR="00E97416" w:rsidRPr="004576B2" w:rsidTr="00F76D68">
        <w:trPr>
          <w:cantSplit/>
        </w:trPr>
        <w:tc>
          <w:tcPr>
            <w:tcW w:w="1548"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cs="Arial"/>
                <w:sz w:val="16"/>
                <w:szCs w:val="16"/>
                <w:lang w:val="en-GB"/>
              </w:rPr>
              <w:t> </w:t>
            </w:r>
            <w:r w:rsidRPr="00E97416">
              <w:rPr>
                <w:rFonts w:ascii="Arial" w:eastAsia="Garamond" w:hAnsi="Arial"/>
                <w:sz w:val="16"/>
                <w:szCs w:val="16"/>
                <w:lang w:val="en-GB"/>
              </w:rPr>
              <w:t>Other services</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0.59</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0.54</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0.55</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0.55</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0.53</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0.54</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0.53</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0.53</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0.53</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0.51</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0.53</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c>
          <w:tcPr>
            <w:tcW w:w="630" w:type="dxa"/>
            <w:tcBorders>
              <w:top w:val="nil"/>
              <w:left w:val="nil"/>
              <w:bottom w:val="single" w:sz="4" w:space="0" w:color="auto"/>
              <w:right w:val="nil"/>
            </w:tcBorders>
            <w:shd w:val="clear" w:color="auto" w:fill="auto"/>
            <w:noWrap/>
          </w:tcPr>
          <w:p w:rsidR="00E97416" w:rsidRPr="00E97416" w:rsidRDefault="00E97416" w:rsidP="00E97416">
            <w:pPr>
              <w:suppressAutoHyphens/>
              <w:contextualSpacing/>
              <w:rPr>
                <w:rFonts w:ascii="Arial" w:eastAsia="Garamond" w:hAnsi="Arial"/>
                <w:sz w:val="16"/>
                <w:szCs w:val="16"/>
                <w:lang w:val="en-GB"/>
              </w:rPr>
            </w:pPr>
            <w:r w:rsidRPr="00E97416">
              <w:rPr>
                <w:rFonts w:ascii="Arial" w:eastAsia="Garamond" w:hAnsi="Arial"/>
                <w:sz w:val="16"/>
                <w:szCs w:val="16"/>
                <w:lang w:val="en-GB"/>
              </w:rPr>
              <w:t>0.52</w:t>
            </w:r>
          </w:p>
        </w:tc>
      </w:tr>
    </w:tbl>
    <w:p w:rsidR="00E97416" w:rsidRPr="00E97416" w:rsidRDefault="00E97416" w:rsidP="00E97416">
      <w:pPr>
        <w:spacing w:before="120" w:after="240"/>
        <w:rPr>
          <w:rFonts w:ascii="Arial" w:eastAsia="Garamond" w:hAnsi="Arial"/>
          <w:sz w:val="18"/>
          <w:lang w:val="en-GB"/>
        </w:rPr>
      </w:pPr>
      <w:r w:rsidRPr="00E97416">
        <w:rPr>
          <w:rFonts w:ascii="Arial" w:eastAsia="Garamond" w:hAnsi="Arial"/>
          <w:sz w:val="18"/>
          <w:lang w:val="en-GB"/>
        </w:rPr>
        <w:t>Source: Authors’ calculation based on data from INEGI. See Equation (1) in the text and section A1</w:t>
      </w:r>
      <w:r>
        <w:rPr>
          <w:rFonts w:ascii="Arial" w:eastAsia="Garamond" w:hAnsi="Arial"/>
          <w:sz w:val="18"/>
          <w:lang w:val="en-GB"/>
        </w:rPr>
        <w:t xml:space="preserve"> in this appendix</w:t>
      </w:r>
      <w:r w:rsidRPr="00E97416">
        <w:rPr>
          <w:rFonts w:ascii="Arial" w:eastAsia="Garamond" w:hAnsi="Arial"/>
          <w:sz w:val="18"/>
          <w:lang w:val="en-GB"/>
        </w:rPr>
        <w:t xml:space="preserve"> for details.</w:t>
      </w:r>
    </w:p>
    <w:p w:rsidR="00E97416" w:rsidRPr="00E97416" w:rsidRDefault="00E97416" w:rsidP="00E97416">
      <w:pPr>
        <w:suppressAutoHyphens/>
        <w:spacing w:after="240"/>
        <w:jc w:val="both"/>
        <w:rPr>
          <w:rFonts w:ascii="Garamond" w:eastAsia="Garamond" w:hAnsi="Garamond"/>
          <w:lang w:val="en-GB"/>
        </w:rPr>
      </w:pPr>
    </w:p>
    <w:p w:rsidR="00E97416" w:rsidRPr="00E97416" w:rsidRDefault="00E97416" w:rsidP="00E97416">
      <w:pPr>
        <w:suppressAutoHyphens/>
        <w:spacing w:after="240"/>
        <w:jc w:val="both"/>
        <w:rPr>
          <w:rFonts w:ascii="Garamond" w:eastAsia="Garamond" w:hAnsi="Garamond"/>
          <w:lang w:val="en-GB"/>
        </w:rPr>
        <w:sectPr w:rsidR="00E97416" w:rsidRPr="00E97416" w:rsidSect="00F76D68">
          <w:pgSz w:w="16840" w:h="11900" w:orient="landscape" w:code="9"/>
          <w:pgMar w:top="1440" w:right="1440" w:bottom="1440" w:left="1440" w:header="709" w:footer="709" w:gutter="0"/>
          <w:paperSrc w:first="1025" w:other="1025"/>
          <w:cols w:space="708"/>
          <w:docGrid w:linePitch="360"/>
        </w:sectPr>
      </w:pPr>
    </w:p>
    <w:p w:rsidR="00E97416" w:rsidRPr="00E97416" w:rsidRDefault="00E97416" w:rsidP="00E97416">
      <w:pPr>
        <w:spacing w:before="120" w:after="120"/>
        <w:rPr>
          <w:rFonts w:ascii="Arial" w:eastAsia="Garamond" w:hAnsi="Arial"/>
          <w:sz w:val="18"/>
          <w:lang w:val="en-GB"/>
        </w:rPr>
      </w:pPr>
      <w:r w:rsidRPr="00E97416">
        <w:rPr>
          <w:rFonts w:ascii="Arial" w:eastAsia="Garamond" w:hAnsi="Arial"/>
          <w:sz w:val="18"/>
          <w:lang w:val="en-GB"/>
        </w:rPr>
        <w:lastRenderedPageBreak/>
        <w:t xml:space="preserve">Figure A1: </w:t>
      </w:r>
      <w:r w:rsidRPr="00E97416">
        <w:rPr>
          <w:rFonts w:ascii="Arial" w:eastAsia="Garamond" w:hAnsi="Arial"/>
          <w:i/>
          <w:sz w:val="18"/>
          <w:lang w:val="en-GB"/>
        </w:rPr>
        <w:t>LIS2</w:t>
      </w:r>
      <w:r w:rsidRPr="00E97416">
        <w:rPr>
          <w:rFonts w:ascii="Arial" w:eastAsia="Garamond" w:hAnsi="Arial"/>
          <w:sz w:val="18"/>
          <w:lang w:val="en-GB"/>
        </w:rPr>
        <w:t xml:space="preserve"> and </w:t>
      </w:r>
      <w:r w:rsidRPr="00E97416">
        <w:rPr>
          <w:rFonts w:ascii="Arial" w:eastAsia="Garamond" w:hAnsi="Arial"/>
          <w:i/>
          <w:sz w:val="18"/>
          <w:lang w:val="en-GB"/>
        </w:rPr>
        <w:t>LIS3</w:t>
      </w:r>
      <w:r w:rsidRPr="00E97416">
        <w:rPr>
          <w:rFonts w:ascii="Arial" w:eastAsia="Garamond" w:hAnsi="Arial"/>
          <w:sz w:val="18"/>
          <w:lang w:val="en-GB"/>
        </w:rPr>
        <w:t xml:space="preserve"> in the private business sector, 1995–2015 </w:t>
      </w:r>
    </w:p>
    <w:p w:rsidR="00E97416" w:rsidRPr="00E97416" w:rsidRDefault="0096373A" w:rsidP="00E97416">
      <w:pPr>
        <w:suppressAutoHyphens/>
        <w:rPr>
          <w:rFonts w:ascii="Arial" w:eastAsia="Garamond" w:hAnsi="Arial"/>
          <w:sz w:val="18"/>
          <w:lang w:val="en-GB"/>
        </w:rPr>
      </w:pPr>
      <w:r w:rsidRPr="004576B2">
        <w:rPr>
          <w:rFonts w:ascii="Arial" w:eastAsia="Garamond" w:hAnsi="Arial"/>
          <w:noProof/>
          <w:sz w:val="18"/>
          <w:lang w:eastAsia="es-MX"/>
        </w:rPr>
        <w:drawing>
          <wp:inline distT="0" distB="0" distL="0" distR="0">
            <wp:extent cx="4969510" cy="3594100"/>
            <wp:effectExtent l="0" t="0" r="2540" b="635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9510" cy="3594100"/>
                    </a:xfrm>
                    <a:prstGeom prst="rect">
                      <a:avLst/>
                    </a:prstGeom>
                    <a:noFill/>
                    <a:ln>
                      <a:noFill/>
                    </a:ln>
                  </pic:spPr>
                </pic:pic>
              </a:graphicData>
            </a:graphic>
          </wp:inline>
        </w:drawing>
      </w:r>
    </w:p>
    <w:p w:rsidR="00E97416" w:rsidRPr="00E97416" w:rsidRDefault="00E97416" w:rsidP="00E97416">
      <w:pPr>
        <w:spacing w:before="120" w:after="240"/>
        <w:rPr>
          <w:rFonts w:ascii="Arial" w:eastAsia="Garamond" w:hAnsi="Arial"/>
          <w:sz w:val="18"/>
          <w:lang w:val="en-GB"/>
        </w:rPr>
      </w:pPr>
      <w:r w:rsidRPr="00E97416">
        <w:rPr>
          <w:rFonts w:ascii="Arial" w:eastAsia="Garamond" w:hAnsi="Arial"/>
          <w:sz w:val="18"/>
          <w:lang w:val="en-GB"/>
        </w:rPr>
        <w:t>Source: Authors’ calculations based on data from INEGI. See Equation (1) in the text and section A1</w:t>
      </w:r>
      <w:r>
        <w:rPr>
          <w:rFonts w:ascii="Arial" w:eastAsia="Garamond" w:hAnsi="Arial"/>
          <w:sz w:val="18"/>
          <w:lang w:val="en-GB"/>
        </w:rPr>
        <w:t xml:space="preserve"> in this appendix</w:t>
      </w:r>
      <w:r w:rsidRPr="00E97416">
        <w:rPr>
          <w:rFonts w:ascii="Arial" w:eastAsia="Garamond" w:hAnsi="Arial"/>
          <w:sz w:val="18"/>
          <w:lang w:val="en-GB"/>
        </w:rPr>
        <w:t xml:space="preserve"> for details.</w:t>
      </w:r>
    </w:p>
    <w:p w:rsidR="00E97416" w:rsidRPr="00E97416" w:rsidRDefault="00E97416" w:rsidP="00E97416">
      <w:pPr>
        <w:spacing w:before="120" w:after="120"/>
        <w:rPr>
          <w:rFonts w:ascii="Arial" w:eastAsia="Garamond" w:hAnsi="Arial"/>
          <w:sz w:val="18"/>
          <w:lang w:val="en-GB"/>
        </w:rPr>
      </w:pPr>
      <w:r w:rsidRPr="00E97416">
        <w:rPr>
          <w:rFonts w:ascii="Arial" w:eastAsia="Garamond" w:hAnsi="Arial"/>
          <w:sz w:val="18"/>
          <w:lang w:val="en-GB"/>
        </w:rPr>
        <w:t>Figure A2: Adjusted wage share (</w:t>
      </w:r>
      <w:r w:rsidRPr="00E97416">
        <w:rPr>
          <w:rFonts w:ascii="Arial" w:eastAsia="Garamond" w:hAnsi="Arial"/>
          <w:i/>
          <w:sz w:val="18"/>
          <w:lang w:val="en-GB"/>
        </w:rPr>
        <w:t>AWS</w:t>
      </w:r>
      <w:r w:rsidRPr="00E97416">
        <w:rPr>
          <w:rFonts w:ascii="Arial" w:eastAsia="Garamond" w:hAnsi="Arial"/>
          <w:sz w:val="18"/>
          <w:lang w:val="en-GB"/>
        </w:rPr>
        <w:t xml:space="preserve">) and </w:t>
      </w:r>
      <w:r w:rsidRPr="00E97416">
        <w:rPr>
          <w:rFonts w:ascii="Arial" w:eastAsia="Garamond" w:hAnsi="Arial"/>
          <w:i/>
          <w:sz w:val="18"/>
          <w:lang w:val="en-GB"/>
        </w:rPr>
        <w:t>LIS2</w:t>
      </w:r>
      <w:r w:rsidRPr="00E97416">
        <w:rPr>
          <w:rFonts w:ascii="Arial" w:eastAsia="Garamond" w:hAnsi="Arial"/>
          <w:sz w:val="18"/>
          <w:lang w:val="en-GB"/>
        </w:rPr>
        <w:t xml:space="preserve"> in agriculture, 1995–2015</w:t>
      </w:r>
    </w:p>
    <w:p w:rsidR="00E97416" w:rsidRPr="00E97416" w:rsidRDefault="0096373A" w:rsidP="00E97416">
      <w:pPr>
        <w:suppressAutoHyphens/>
        <w:rPr>
          <w:rFonts w:ascii="Arial" w:eastAsia="Garamond" w:hAnsi="Arial"/>
          <w:sz w:val="18"/>
          <w:lang w:val="en-GB"/>
        </w:rPr>
      </w:pPr>
      <w:r w:rsidRPr="004576B2">
        <w:rPr>
          <w:rFonts w:ascii="Arial" w:eastAsia="Garamond" w:hAnsi="Arial"/>
          <w:noProof/>
          <w:sz w:val="18"/>
          <w:lang w:eastAsia="es-MX"/>
        </w:rPr>
        <w:drawing>
          <wp:inline distT="0" distB="0" distL="0" distR="0">
            <wp:extent cx="4929505" cy="3562350"/>
            <wp:effectExtent l="0" t="0" r="444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9505" cy="3562350"/>
                    </a:xfrm>
                    <a:prstGeom prst="rect">
                      <a:avLst/>
                    </a:prstGeom>
                    <a:noFill/>
                    <a:ln>
                      <a:noFill/>
                    </a:ln>
                  </pic:spPr>
                </pic:pic>
              </a:graphicData>
            </a:graphic>
          </wp:inline>
        </w:drawing>
      </w:r>
    </w:p>
    <w:p w:rsidR="00E97416" w:rsidRDefault="00E97416" w:rsidP="00E97416">
      <w:pPr>
        <w:spacing w:before="120" w:after="240"/>
        <w:rPr>
          <w:rFonts w:ascii="Arial" w:eastAsia="Garamond" w:hAnsi="Arial"/>
          <w:sz w:val="18"/>
          <w:lang w:val="en-GB"/>
        </w:rPr>
      </w:pPr>
      <w:r w:rsidRPr="00E97416">
        <w:rPr>
          <w:rFonts w:ascii="Arial" w:eastAsia="Garamond" w:hAnsi="Arial"/>
          <w:sz w:val="18"/>
          <w:lang w:val="en-GB"/>
        </w:rPr>
        <w:t xml:space="preserve">Source: Authors’ calculations based on </w:t>
      </w:r>
      <w:r w:rsidR="00566BC9">
        <w:rPr>
          <w:rFonts w:ascii="Arial" w:eastAsia="Garamond" w:hAnsi="Arial"/>
          <w:sz w:val="18"/>
          <w:lang w:val="en-GB"/>
        </w:rPr>
        <w:t>data from INEGI. See Equation (3</w:t>
      </w:r>
      <w:r w:rsidRPr="00E97416">
        <w:rPr>
          <w:rFonts w:ascii="Arial" w:eastAsia="Garamond" w:hAnsi="Arial"/>
          <w:sz w:val="18"/>
          <w:lang w:val="en-GB"/>
        </w:rPr>
        <w:t>) in the text</w:t>
      </w:r>
      <w:r w:rsidR="003B3AFE">
        <w:rPr>
          <w:rFonts w:ascii="Arial" w:eastAsia="Garamond" w:hAnsi="Arial"/>
          <w:sz w:val="18"/>
          <w:lang w:val="en-GB"/>
        </w:rPr>
        <w:t xml:space="preserve"> and</w:t>
      </w:r>
      <w:r w:rsidRPr="00E97416">
        <w:rPr>
          <w:rFonts w:ascii="Arial" w:eastAsia="Garamond" w:hAnsi="Arial"/>
          <w:sz w:val="18"/>
          <w:lang w:val="en-GB"/>
        </w:rPr>
        <w:t xml:space="preserve"> </w:t>
      </w:r>
      <w:r w:rsidR="00F76D68" w:rsidRPr="00E97416">
        <w:rPr>
          <w:rFonts w:ascii="Arial" w:eastAsia="Garamond" w:hAnsi="Arial"/>
          <w:sz w:val="18"/>
          <w:lang w:val="en-GB"/>
        </w:rPr>
        <w:t>section A1</w:t>
      </w:r>
      <w:r w:rsidR="00F76D68">
        <w:rPr>
          <w:rFonts w:ascii="Arial" w:eastAsia="Garamond" w:hAnsi="Arial"/>
          <w:sz w:val="18"/>
          <w:lang w:val="en-GB"/>
        </w:rPr>
        <w:t xml:space="preserve"> in this appendix</w:t>
      </w:r>
      <w:r w:rsidR="00F76D68" w:rsidRPr="00E97416">
        <w:rPr>
          <w:rFonts w:ascii="Arial" w:eastAsia="Garamond" w:hAnsi="Arial"/>
          <w:sz w:val="18"/>
          <w:lang w:val="en-GB"/>
        </w:rPr>
        <w:t xml:space="preserve"> for details</w:t>
      </w:r>
      <w:r w:rsidRPr="00E97416">
        <w:rPr>
          <w:rFonts w:ascii="Arial" w:eastAsia="Garamond" w:hAnsi="Arial"/>
          <w:sz w:val="18"/>
          <w:lang w:val="en-GB"/>
        </w:rPr>
        <w:t>.</w:t>
      </w:r>
    </w:p>
    <w:p w:rsidR="00446764" w:rsidRPr="00E97416" w:rsidRDefault="00446764" w:rsidP="00E97416">
      <w:pPr>
        <w:spacing w:before="120" w:after="240"/>
        <w:rPr>
          <w:rFonts w:ascii="Arial" w:eastAsia="Garamond" w:hAnsi="Arial"/>
          <w:sz w:val="18"/>
          <w:lang w:val="en-GB"/>
        </w:rPr>
      </w:pPr>
    </w:p>
    <w:p w:rsidR="00E97416" w:rsidRPr="00E97416" w:rsidRDefault="00E97416" w:rsidP="00E97416">
      <w:pPr>
        <w:spacing w:before="120" w:after="120"/>
        <w:rPr>
          <w:rFonts w:ascii="Arial" w:eastAsia="Garamond" w:hAnsi="Arial"/>
          <w:sz w:val="18"/>
          <w:lang w:val="en-GB"/>
        </w:rPr>
      </w:pPr>
      <w:r w:rsidRPr="00E97416">
        <w:rPr>
          <w:rFonts w:ascii="Arial" w:eastAsia="Garamond" w:hAnsi="Arial"/>
          <w:sz w:val="18"/>
          <w:lang w:val="en-GB"/>
        </w:rPr>
        <w:lastRenderedPageBreak/>
        <w:t xml:space="preserve">Figure A3: </w:t>
      </w:r>
      <w:r w:rsidRPr="00E97416">
        <w:rPr>
          <w:rFonts w:ascii="Arial" w:eastAsia="Garamond" w:hAnsi="Arial"/>
          <w:i/>
          <w:sz w:val="18"/>
          <w:lang w:val="en-GB"/>
        </w:rPr>
        <w:t>AWS</w:t>
      </w:r>
      <w:r w:rsidRPr="00E97416">
        <w:rPr>
          <w:rFonts w:ascii="Arial" w:eastAsia="Garamond" w:hAnsi="Arial"/>
          <w:sz w:val="18"/>
          <w:lang w:val="en-GB"/>
        </w:rPr>
        <w:t xml:space="preserve"> and </w:t>
      </w:r>
      <w:r w:rsidRPr="00E97416">
        <w:rPr>
          <w:rFonts w:ascii="Arial" w:eastAsia="Garamond" w:hAnsi="Arial"/>
          <w:i/>
          <w:sz w:val="18"/>
          <w:lang w:val="en-GB"/>
        </w:rPr>
        <w:t>LIS2</w:t>
      </w:r>
      <w:r w:rsidRPr="00E97416">
        <w:rPr>
          <w:rFonts w:ascii="Arial" w:eastAsia="Garamond" w:hAnsi="Arial"/>
          <w:sz w:val="18"/>
          <w:lang w:val="en-GB"/>
        </w:rPr>
        <w:t xml:space="preserve"> in commerce, 1995–2015</w:t>
      </w:r>
    </w:p>
    <w:p w:rsidR="00E97416" w:rsidRPr="00E97416" w:rsidRDefault="0096373A" w:rsidP="00E97416">
      <w:pPr>
        <w:suppressAutoHyphens/>
        <w:rPr>
          <w:rFonts w:ascii="Arial" w:eastAsia="Garamond" w:hAnsi="Arial"/>
          <w:sz w:val="18"/>
          <w:lang w:val="en-GB"/>
        </w:rPr>
      </w:pPr>
      <w:r w:rsidRPr="004576B2">
        <w:rPr>
          <w:rFonts w:ascii="Arial" w:eastAsia="Garamond" w:hAnsi="Arial"/>
          <w:noProof/>
          <w:sz w:val="18"/>
          <w:lang w:eastAsia="es-MX"/>
        </w:rPr>
        <w:drawing>
          <wp:inline distT="0" distB="0" distL="0" distR="0">
            <wp:extent cx="4921885" cy="3578225"/>
            <wp:effectExtent l="0" t="0" r="0" b="317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1885" cy="3578225"/>
                    </a:xfrm>
                    <a:prstGeom prst="rect">
                      <a:avLst/>
                    </a:prstGeom>
                    <a:noFill/>
                    <a:ln>
                      <a:noFill/>
                    </a:ln>
                  </pic:spPr>
                </pic:pic>
              </a:graphicData>
            </a:graphic>
          </wp:inline>
        </w:drawing>
      </w:r>
    </w:p>
    <w:p w:rsidR="00E97416" w:rsidRDefault="00E97416" w:rsidP="00F76D68">
      <w:pPr>
        <w:rPr>
          <w:rFonts w:ascii="Arial" w:eastAsia="Garamond" w:hAnsi="Arial"/>
          <w:sz w:val="18"/>
          <w:lang w:val="en-GB"/>
        </w:rPr>
      </w:pPr>
      <w:r w:rsidRPr="00E97416">
        <w:rPr>
          <w:rFonts w:ascii="Arial" w:eastAsia="Garamond" w:hAnsi="Arial"/>
          <w:sz w:val="18"/>
          <w:lang w:val="en-GB"/>
        </w:rPr>
        <w:t xml:space="preserve">Source: Authors’ calculations based on data </w:t>
      </w:r>
      <w:r w:rsidR="00566BC9">
        <w:rPr>
          <w:rFonts w:ascii="Arial" w:eastAsia="Garamond" w:hAnsi="Arial"/>
          <w:sz w:val="18"/>
          <w:lang w:val="en-GB"/>
        </w:rPr>
        <w:t>from INEGI. See Equation (3</w:t>
      </w:r>
      <w:r w:rsidRPr="00E97416">
        <w:rPr>
          <w:rFonts w:ascii="Arial" w:eastAsia="Garamond" w:hAnsi="Arial"/>
          <w:sz w:val="18"/>
          <w:lang w:val="en-GB"/>
        </w:rPr>
        <w:t xml:space="preserve">) in the text and </w:t>
      </w:r>
      <w:r w:rsidR="00F76D68" w:rsidRPr="00E97416">
        <w:rPr>
          <w:rFonts w:ascii="Arial" w:eastAsia="Garamond" w:hAnsi="Arial"/>
          <w:sz w:val="18"/>
          <w:lang w:val="en-GB"/>
        </w:rPr>
        <w:t>section A1</w:t>
      </w:r>
      <w:r w:rsidR="00F76D68">
        <w:rPr>
          <w:rFonts w:ascii="Arial" w:eastAsia="Garamond" w:hAnsi="Arial"/>
          <w:sz w:val="18"/>
          <w:lang w:val="en-GB"/>
        </w:rPr>
        <w:t xml:space="preserve"> in this appendix</w:t>
      </w:r>
      <w:r w:rsidR="00F76D68" w:rsidRPr="00E97416">
        <w:rPr>
          <w:rFonts w:ascii="Arial" w:eastAsia="Garamond" w:hAnsi="Arial"/>
          <w:sz w:val="18"/>
          <w:lang w:val="en-GB"/>
        </w:rPr>
        <w:t xml:space="preserve"> for details</w:t>
      </w:r>
      <w:r w:rsidRPr="00E97416">
        <w:rPr>
          <w:rFonts w:ascii="Arial" w:eastAsia="Garamond" w:hAnsi="Arial"/>
          <w:sz w:val="18"/>
          <w:lang w:val="en-GB"/>
        </w:rPr>
        <w:t>.</w:t>
      </w:r>
    </w:p>
    <w:p w:rsidR="00F76D68" w:rsidRPr="00E97416" w:rsidRDefault="00F76D68" w:rsidP="00E97416">
      <w:pPr>
        <w:spacing w:before="120" w:after="240"/>
        <w:rPr>
          <w:rFonts w:ascii="Arial" w:eastAsia="Garamond" w:hAnsi="Arial"/>
          <w:sz w:val="18"/>
          <w:lang w:val="en-GB"/>
        </w:rPr>
      </w:pPr>
    </w:p>
    <w:p w:rsidR="00E97416" w:rsidRPr="001D2456" w:rsidRDefault="00E97416" w:rsidP="00F76D68">
      <w:pPr>
        <w:rPr>
          <w:rFonts w:ascii="Garamond" w:hAnsi="Garamond"/>
          <w:b/>
          <w:lang w:val="en-US"/>
        </w:rPr>
      </w:pPr>
      <w:r w:rsidRPr="001D2456">
        <w:rPr>
          <w:rFonts w:ascii="Garamond" w:hAnsi="Garamond"/>
          <w:b/>
          <w:lang w:val="en-US"/>
        </w:rPr>
        <w:t>A3</w:t>
      </w:r>
      <w:r w:rsidR="00F76D68" w:rsidRPr="001D2456">
        <w:rPr>
          <w:rFonts w:ascii="Garamond" w:hAnsi="Garamond"/>
          <w:b/>
          <w:lang w:val="en-US"/>
        </w:rPr>
        <w:t xml:space="preserve">. </w:t>
      </w:r>
      <w:r w:rsidRPr="001D2456">
        <w:rPr>
          <w:rFonts w:ascii="Garamond" w:hAnsi="Garamond"/>
          <w:b/>
          <w:lang w:val="en-US"/>
        </w:rPr>
        <w:t xml:space="preserve">Labor productivity in the wage-employment and self-employment </w:t>
      </w:r>
      <w:r w:rsidR="001D2456">
        <w:rPr>
          <w:rFonts w:ascii="Garamond" w:hAnsi="Garamond"/>
          <w:b/>
          <w:lang w:val="en-US"/>
        </w:rPr>
        <w:t>sub</w:t>
      </w:r>
      <w:r w:rsidRPr="001D2456">
        <w:rPr>
          <w:rFonts w:ascii="Garamond" w:hAnsi="Garamond"/>
          <w:b/>
          <w:lang w:val="en-US"/>
        </w:rPr>
        <w:t>sectors</w:t>
      </w:r>
    </w:p>
    <w:p w:rsidR="00E97416" w:rsidRPr="001D2456" w:rsidRDefault="00E97416" w:rsidP="00F76D68">
      <w:pPr>
        <w:rPr>
          <w:lang w:val="en-US"/>
        </w:rPr>
      </w:pPr>
    </w:p>
    <w:p w:rsidR="00E97416" w:rsidRDefault="00E97416" w:rsidP="00F76D68">
      <w:pPr>
        <w:suppressAutoHyphens/>
        <w:jc w:val="both"/>
        <w:rPr>
          <w:rFonts w:ascii="Garamond" w:eastAsia="Garamond" w:hAnsi="Garamond"/>
          <w:lang w:val="en-US"/>
        </w:rPr>
      </w:pPr>
      <w:r w:rsidRPr="001D2456">
        <w:rPr>
          <w:rFonts w:ascii="Garamond" w:eastAsia="Garamond" w:hAnsi="Garamond"/>
          <w:lang w:val="en-US"/>
        </w:rPr>
        <w:t>Labor productivit</w:t>
      </w:r>
      <w:r w:rsidR="001D2456">
        <w:rPr>
          <w:rFonts w:ascii="Garamond" w:eastAsia="Garamond" w:hAnsi="Garamond"/>
          <w:lang w:val="en-US"/>
        </w:rPr>
        <w:t xml:space="preserve">y </w:t>
      </w:r>
      <w:proofErr w:type="gramStart"/>
      <w:r w:rsidR="001D2456">
        <w:rPr>
          <w:rFonts w:ascii="Garamond" w:eastAsia="Garamond" w:hAnsi="Garamond"/>
          <w:lang w:val="en-US"/>
        </w:rPr>
        <w:t>can be estimated</w:t>
      </w:r>
      <w:proofErr w:type="gramEnd"/>
      <w:r w:rsidR="001D2456">
        <w:rPr>
          <w:rFonts w:ascii="Garamond" w:eastAsia="Garamond" w:hAnsi="Garamond"/>
          <w:lang w:val="en-US"/>
        </w:rPr>
        <w:t xml:space="preserve"> for the wage-</w:t>
      </w:r>
      <w:r w:rsidRPr="001D2456">
        <w:rPr>
          <w:rFonts w:ascii="Garamond" w:eastAsia="Garamond" w:hAnsi="Garamond"/>
          <w:lang w:val="en-US"/>
        </w:rPr>
        <w:t xml:space="preserve">employment and self-employment </w:t>
      </w:r>
      <w:r w:rsidR="001D2456">
        <w:rPr>
          <w:rFonts w:ascii="Garamond" w:eastAsia="Garamond" w:hAnsi="Garamond"/>
          <w:lang w:val="en-US"/>
        </w:rPr>
        <w:t>sub</w:t>
      </w:r>
      <w:r w:rsidRPr="001D2456">
        <w:rPr>
          <w:rFonts w:ascii="Garamond" w:eastAsia="Garamond" w:hAnsi="Garamond"/>
          <w:lang w:val="en-US"/>
        </w:rPr>
        <w:t>sectors in each economic activity. To obtain value added a</w:t>
      </w:r>
      <w:r w:rsidR="001D2456">
        <w:rPr>
          <w:rFonts w:ascii="Garamond" w:eastAsia="Garamond" w:hAnsi="Garamond"/>
          <w:lang w:val="en-US"/>
        </w:rPr>
        <w:t>t constant prices for each wage-</w:t>
      </w:r>
      <w:r w:rsidRPr="001D2456">
        <w:rPr>
          <w:rFonts w:ascii="Garamond" w:eastAsia="Garamond" w:hAnsi="Garamond"/>
          <w:lang w:val="en-US"/>
        </w:rPr>
        <w:t xml:space="preserve">employment </w:t>
      </w:r>
      <w:r w:rsidR="001D2456">
        <w:rPr>
          <w:rFonts w:ascii="Garamond" w:eastAsia="Garamond" w:hAnsi="Garamond"/>
          <w:lang w:val="en-US"/>
        </w:rPr>
        <w:t>sub</w:t>
      </w:r>
      <w:r w:rsidRPr="001D2456">
        <w:rPr>
          <w:rFonts w:ascii="Garamond" w:eastAsia="Garamond" w:hAnsi="Garamond"/>
          <w:lang w:val="en-US"/>
        </w:rPr>
        <w:t xml:space="preserve">sector, we estimate the share of this </w:t>
      </w:r>
      <w:r w:rsidR="001D2456">
        <w:rPr>
          <w:rFonts w:ascii="Garamond" w:eastAsia="Garamond" w:hAnsi="Garamond"/>
          <w:lang w:val="en-US"/>
        </w:rPr>
        <w:t>sub</w:t>
      </w:r>
      <w:r w:rsidRPr="001D2456">
        <w:rPr>
          <w:rFonts w:ascii="Garamond" w:eastAsia="Garamond" w:hAnsi="Garamond"/>
          <w:lang w:val="en-US"/>
        </w:rPr>
        <w:t>sector in total value added at current prices (i.e. [</w:t>
      </w:r>
      <w:r w:rsidRPr="001D2456">
        <w:rPr>
          <w:rFonts w:ascii="Garamond" w:eastAsia="Garamond" w:hAnsi="Garamond"/>
          <w:i/>
          <w:lang w:val="en-US"/>
        </w:rPr>
        <w:t>VA </w:t>
      </w:r>
      <w:r w:rsidRPr="001D2456">
        <w:rPr>
          <w:rFonts w:ascii="Garamond" w:eastAsia="Garamond" w:hAnsi="Garamond"/>
          <w:lang w:val="en-US"/>
        </w:rPr>
        <w:sym w:font="Symbol" w:char="F02D"/>
      </w:r>
      <w:r w:rsidRPr="001D2456">
        <w:rPr>
          <w:rFonts w:ascii="Garamond" w:eastAsia="Garamond" w:hAnsi="Garamond"/>
          <w:lang w:val="en-US"/>
        </w:rPr>
        <w:t> (</w:t>
      </w:r>
      <w:r w:rsidRPr="001D2456">
        <w:rPr>
          <w:rFonts w:ascii="Garamond" w:eastAsia="Garamond" w:hAnsi="Garamond"/>
          <w:i/>
          <w:lang w:val="en-US"/>
        </w:rPr>
        <w:t>LI </w:t>
      </w:r>
      <w:r w:rsidRPr="001D2456">
        <w:rPr>
          <w:rFonts w:ascii="Garamond" w:eastAsia="Garamond" w:hAnsi="Garamond"/>
          <w:lang w:val="en-US"/>
        </w:rPr>
        <w:sym w:font="Symbol" w:char="F02D"/>
      </w:r>
      <w:r w:rsidRPr="001D2456">
        <w:rPr>
          <w:rFonts w:ascii="Garamond" w:eastAsia="Garamond" w:hAnsi="Garamond"/>
          <w:lang w:val="en-US"/>
        </w:rPr>
        <w:t> </w:t>
      </w:r>
      <w:r w:rsidRPr="001D2456">
        <w:rPr>
          <w:rFonts w:ascii="Garamond" w:eastAsia="Garamond" w:hAnsi="Garamond"/>
          <w:i/>
          <w:lang w:val="en-US"/>
        </w:rPr>
        <w:t>W</w:t>
      </w:r>
      <w:r w:rsidRPr="001D2456">
        <w:rPr>
          <w:rFonts w:ascii="Garamond" w:eastAsia="Garamond" w:hAnsi="Garamond"/>
          <w:lang w:val="en-US"/>
        </w:rPr>
        <w:t>)]/</w:t>
      </w:r>
      <w:r w:rsidRPr="001D2456">
        <w:rPr>
          <w:rFonts w:ascii="Garamond" w:eastAsia="Garamond" w:hAnsi="Garamond"/>
          <w:i/>
          <w:lang w:val="en-US"/>
        </w:rPr>
        <w:t>VA</w:t>
      </w:r>
      <w:r w:rsidRPr="001D2456">
        <w:rPr>
          <w:rFonts w:ascii="Garamond" w:eastAsia="Garamond" w:hAnsi="Garamond"/>
          <w:lang w:val="en-US"/>
        </w:rPr>
        <w:t xml:space="preserve">) and multiply this share by total value added at constant prices. This series </w:t>
      </w:r>
      <w:proofErr w:type="gramStart"/>
      <w:r w:rsidRPr="001D2456">
        <w:rPr>
          <w:rFonts w:ascii="Garamond" w:eastAsia="Garamond" w:hAnsi="Garamond"/>
          <w:lang w:val="en-US"/>
        </w:rPr>
        <w:t>is then divided</w:t>
      </w:r>
      <w:proofErr w:type="gramEnd"/>
      <w:r w:rsidRPr="001D2456">
        <w:rPr>
          <w:rFonts w:ascii="Garamond" w:eastAsia="Garamond" w:hAnsi="Garamond"/>
          <w:lang w:val="en-US"/>
        </w:rPr>
        <w:t xml:space="preserve"> by an estimate, based on ENOE, of the employment of subordinated workers obtained from the share of subordinated workers in total employment (adjusting for differences in hours worked per employee between subordinated workers</w:t>
      </w:r>
      <w:r w:rsidR="001D2456">
        <w:rPr>
          <w:rFonts w:ascii="Garamond" w:eastAsia="Garamond" w:hAnsi="Garamond"/>
          <w:lang w:val="en-US"/>
        </w:rPr>
        <w:t xml:space="preserve"> and the average) and the INEGI</w:t>
      </w:r>
      <w:r w:rsidR="001D2456" w:rsidRPr="001D2456">
        <w:rPr>
          <w:rFonts w:ascii="Garamond" w:eastAsia="Garamond" w:hAnsi="Garamond"/>
          <w:lang w:val="en-US"/>
        </w:rPr>
        <w:t>–</w:t>
      </w:r>
      <w:r w:rsidRPr="001D2456">
        <w:rPr>
          <w:rFonts w:ascii="Garamond" w:eastAsia="Garamond" w:hAnsi="Garamond"/>
          <w:lang w:val="en-US"/>
        </w:rPr>
        <w:t>KLEMS estimate of total hours worked. Total employment here includes subordinated workers, self-employed and non-remunerated workers, and excludes employers.</w:t>
      </w:r>
    </w:p>
    <w:p w:rsidR="001D2456" w:rsidRPr="001D2456" w:rsidRDefault="001D2456" w:rsidP="00F76D68">
      <w:pPr>
        <w:suppressAutoHyphens/>
        <w:jc w:val="both"/>
        <w:rPr>
          <w:rFonts w:ascii="Garamond" w:eastAsia="Garamond" w:hAnsi="Garamond"/>
          <w:lang w:val="en-US"/>
        </w:rPr>
      </w:pPr>
    </w:p>
    <w:p w:rsidR="00E97416" w:rsidRPr="001D2456" w:rsidRDefault="00E97416" w:rsidP="001D2456">
      <w:pPr>
        <w:suppressAutoHyphens/>
        <w:ind w:firstLine="708"/>
        <w:jc w:val="both"/>
        <w:rPr>
          <w:rFonts w:ascii="Garamond" w:eastAsia="Garamond" w:hAnsi="Garamond"/>
          <w:lang w:val="en-US"/>
        </w:rPr>
      </w:pPr>
      <w:r w:rsidRPr="001D2456">
        <w:rPr>
          <w:rFonts w:ascii="Garamond" w:eastAsia="Garamond" w:hAnsi="Garamond"/>
          <w:lang w:val="en-US"/>
        </w:rPr>
        <w:t xml:space="preserve">Estimation of labor productivity in each self-employment </w:t>
      </w:r>
      <w:r w:rsidR="001D2456">
        <w:rPr>
          <w:rFonts w:ascii="Garamond" w:eastAsia="Garamond" w:hAnsi="Garamond"/>
          <w:lang w:val="en-US"/>
        </w:rPr>
        <w:t>sub</w:t>
      </w:r>
      <w:r w:rsidRPr="001D2456">
        <w:rPr>
          <w:rFonts w:ascii="Garamond" w:eastAsia="Garamond" w:hAnsi="Garamond"/>
          <w:lang w:val="en-US"/>
        </w:rPr>
        <w:t>sector is symmetrical. To obtain value added at constant prices, we multiply the share of self-employment income in value added at current prices [i.e. (</w:t>
      </w:r>
      <w:r w:rsidRPr="001D2456">
        <w:rPr>
          <w:rFonts w:ascii="Garamond" w:eastAsia="Garamond" w:hAnsi="Garamond"/>
          <w:i/>
          <w:lang w:val="en-US"/>
        </w:rPr>
        <w:t>LI </w:t>
      </w:r>
      <w:r w:rsidRPr="001D2456">
        <w:rPr>
          <w:rFonts w:ascii="Garamond" w:eastAsia="Garamond" w:hAnsi="Garamond"/>
          <w:lang w:val="en-US"/>
        </w:rPr>
        <w:sym w:font="Symbol" w:char="F02D"/>
      </w:r>
      <w:r w:rsidRPr="001D2456">
        <w:rPr>
          <w:rFonts w:ascii="Garamond" w:eastAsia="Garamond" w:hAnsi="Garamond"/>
          <w:lang w:val="en-US"/>
        </w:rPr>
        <w:t> </w:t>
      </w:r>
      <w:r w:rsidRPr="001D2456">
        <w:rPr>
          <w:rFonts w:ascii="Garamond" w:eastAsia="Garamond" w:hAnsi="Garamond"/>
          <w:i/>
          <w:lang w:val="en-US"/>
        </w:rPr>
        <w:t>W</w:t>
      </w:r>
      <w:r w:rsidRPr="001D2456">
        <w:rPr>
          <w:rFonts w:ascii="Garamond" w:eastAsia="Garamond" w:hAnsi="Garamond"/>
          <w:lang w:val="en-US"/>
        </w:rPr>
        <w:t>)/</w:t>
      </w:r>
      <w:r w:rsidRPr="001D2456">
        <w:rPr>
          <w:rFonts w:ascii="Garamond" w:eastAsia="Garamond" w:hAnsi="Garamond"/>
          <w:i/>
          <w:lang w:val="en-US"/>
        </w:rPr>
        <w:t>VA</w:t>
      </w:r>
      <w:r w:rsidRPr="001D2456">
        <w:rPr>
          <w:rFonts w:ascii="Garamond" w:eastAsia="Garamond" w:hAnsi="Garamond"/>
          <w:lang w:val="en-US"/>
        </w:rPr>
        <w:t xml:space="preserve">] by total value added at constant prices. </w:t>
      </w:r>
      <w:proofErr w:type="gramStart"/>
      <w:r w:rsidRPr="001D2456">
        <w:rPr>
          <w:rFonts w:ascii="Garamond" w:eastAsia="Garamond" w:hAnsi="Garamond"/>
          <w:lang w:val="en-US"/>
        </w:rPr>
        <w:t>This series is then divided by an estimate, based on ENOE and KLEMS, of self-employment and non-remunerated workers (assumed to be working primarily in the self-employment sector) obtained from multiplying total hours worked in INEGI</w:t>
      </w:r>
      <w:r w:rsidR="001D2456" w:rsidRPr="001D2456">
        <w:rPr>
          <w:rFonts w:ascii="Garamond" w:eastAsia="Garamond" w:hAnsi="Garamond"/>
          <w:lang w:val="en-US"/>
        </w:rPr>
        <w:t>–</w:t>
      </w:r>
      <w:r w:rsidRPr="001D2456">
        <w:rPr>
          <w:rFonts w:ascii="Garamond" w:eastAsia="Garamond" w:hAnsi="Garamond"/>
          <w:lang w:val="en-US"/>
        </w:rPr>
        <w:t>KLEMS by an estimate of the share of the self-employed and non-remunerated workers in total employment (defined as previously and adjusted for differences in hours worked per employee) according to ENOE.</w:t>
      </w:r>
      <w:proofErr w:type="gramEnd"/>
    </w:p>
    <w:p w:rsidR="00E97416" w:rsidRDefault="00E97416" w:rsidP="00F76D68">
      <w:pPr>
        <w:spacing w:line="276" w:lineRule="auto"/>
        <w:rPr>
          <w:rFonts w:ascii="Garamond" w:eastAsia="Garamond" w:hAnsi="Garamond"/>
          <w:lang w:val="en-US"/>
        </w:rPr>
      </w:pPr>
    </w:p>
    <w:p w:rsidR="00446764" w:rsidRDefault="00446764" w:rsidP="00F76D68">
      <w:pPr>
        <w:spacing w:line="276" w:lineRule="auto"/>
        <w:rPr>
          <w:rFonts w:ascii="Garamond" w:eastAsia="Garamond" w:hAnsi="Garamond"/>
          <w:lang w:val="en-US"/>
        </w:rPr>
      </w:pPr>
    </w:p>
    <w:p w:rsidR="00446764" w:rsidRDefault="00446764" w:rsidP="00F76D68">
      <w:pPr>
        <w:spacing w:line="276" w:lineRule="auto"/>
        <w:rPr>
          <w:rFonts w:ascii="Garamond" w:eastAsia="Garamond" w:hAnsi="Garamond"/>
          <w:lang w:val="en-US"/>
        </w:rPr>
      </w:pPr>
    </w:p>
    <w:p w:rsidR="00446764" w:rsidRDefault="00446764" w:rsidP="00F76D68">
      <w:pPr>
        <w:spacing w:line="276" w:lineRule="auto"/>
        <w:rPr>
          <w:rFonts w:ascii="Garamond" w:eastAsia="Garamond" w:hAnsi="Garamond"/>
          <w:lang w:val="en-US"/>
        </w:rPr>
      </w:pPr>
    </w:p>
    <w:p w:rsidR="001D2456" w:rsidRPr="001D2456" w:rsidRDefault="001D2456" w:rsidP="00F76D68">
      <w:pPr>
        <w:spacing w:line="276" w:lineRule="auto"/>
        <w:rPr>
          <w:rFonts w:ascii="Arial" w:eastAsia="Garamond" w:hAnsi="Arial"/>
          <w:sz w:val="18"/>
          <w:lang w:val="en-US"/>
        </w:rPr>
      </w:pPr>
    </w:p>
    <w:p w:rsidR="00E97416" w:rsidRPr="001D2456" w:rsidRDefault="00E97416" w:rsidP="00F76D68">
      <w:pPr>
        <w:rPr>
          <w:rFonts w:ascii="Arial" w:eastAsia="Garamond" w:hAnsi="Arial"/>
          <w:sz w:val="18"/>
          <w:lang w:val="en-US"/>
        </w:rPr>
      </w:pPr>
      <w:r w:rsidRPr="001D2456">
        <w:rPr>
          <w:rFonts w:ascii="Arial" w:eastAsia="Garamond" w:hAnsi="Arial"/>
          <w:sz w:val="18"/>
          <w:lang w:val="en-US"/>
        </w:rPr>
        <w:lastRenderedPageBreak/>
        <w:t xml:space="preserve">Figure A4: </w:t>
      </w:r>
      <w:r w:rsidRPr="001D2456">
        <w:rPr>
          <w:rFonts w:ascii="Arial" w:eastAsia="Garamond" w:hAnsi="Arial"/>
          <w:i/>
          <w:sz w:val="18"/>
          <w:lang w:val="en-US"/>
        </w:rPr>
        <w:t>AWS</w:t>
      </w:r>
      <w:r w:rsidRPr="001D2456">
        <w:rPr>
          <w:rFonts w:ascii="Arial" w:eastAsia="Garamond" w:hAnsi="Arial"/>
          <w:sz w:val="18"/>
          <w:lang w:val="en-US"/>
        </w:rPr>
        <w:t xml:space="preserve"> and productivity ratio in construction, 1995–2015</w:t>
      </w:r>
    </w:p>
    <w:p w:rsidR="00E97416" w:rsidRPr="001D2456" w:rsidRDefault="0096373A" w:rsidP="00F76D68">
      <w:pPr>
        <w:suppressAutoHyphens/>
        <w:rPr>
          <w:rFonts w:ascii="Arial" w:eastAsia="Garamond" w:hAnsi="Arial"/>
          <w:sz w:val="18"/>
          <w:lang w:val="en-US"/>
        </w:rPr>
      </w:pPr>
      <w:r w:rsidRPr="004576B2">
        <w:rPr>
          <w:rFonts w:ascii="Arial" w:eastAsia="Garamond" w:hAnsi="Arial"/>
          <w:noProof/>
          <w:sz w:val="18"/>
          <w:lang w:eastAsia="es-MX"/>
        </w:rPr>
        <w:drawing>
          <wp:inline distT="0" distB="0" distL="0" distR="0">
            <wp:extent cx="4937760" cy="358584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37760" cy="3585845"/>
                    </a:xfrm>
                    <a:prstGeom prst="rect">
                      <a:avLst/>
                    </a:prstGeom>
                    <a:noFill/>
                    <a:ln>
                      <a:noFill/>
                    </a:ln>
                  </pic:spPr>
                </pic:pic>
              </a:graphicData>
            </a:graphic>
          </wp:inline>
        </w:drawing>
      </w:r>
    </w:p>
    <w:p w:rsidR="00E97416" w:rsidRPr="001D2456" w:rsidRDefault="00E97416" w:rsidP="00F76D68">
      <w:pPr>
        <w:suppressAutoHyphens/>
        <w:rPr>
          <w:rFonts w:ascii="Arial" w:eastAsia="Garamond" w:hAnsi="Arial"/>
          <w:sz w:val="18"/>
          <w:lang w:val="en-US"/>
        </w:rPr>
      </w:pPr>
      <w:r w:rsidRPr="001D2456">
        <w:rPr>
          <w:rFonts w:ascii="Arial" w:eastAsia="Garamond" w:hAnsi="Arial"/>
          <w:sz w:val="18"/>
          <w:lang w:val="en-US"/>
        </w:rPr>
        <w:t xml:space="preserve">Note: Productivity ratio of wage-employment to self-employment </w:t>
      </w:r>
      <w:r w:rsidR="001D2456">
        <w:rPr>
          <w:rFonts w:ascii="Arial" w:eastAsia="Garamond" w:hAnsi="Arial"/>
          <w:sz w:val="18"/>
          <w:lang w:val="en-US"/>
        </w:rPr>
        <w:t>sub</w:t>
      </w:r>
      <w:r w:rsidRPr="001D2456">
        <w:rPr>
          <w:rFonts w:ascii="Arial" w:eastAsia="Garamond" w:hAnsi="Arial"/>
          <w:sz w:val="18"/>
          <w:lang w:val="en-US"/>
        </w:rPr>
        <w:t>sector.</w:t>
      </w:r>
    </w:p>
    <w:p w:rsidR="00E97416" w:rsidRDefault="00E97416" w:rsidP="00F76D68">
      <w:pPr>
        <w:rPr>
          <w:rFonts w:ascii="Arial" w:eastAsia="Garamond" w:hAnsi="Arial"/>
          <w:sz w:val="18"/>
          <w:lang w:val="en-US"/>
        </w:rPr>
      </w:pPr>
      <w:r w:rsidRPr="001D2456">
        <w:rPr>
          <w:rFonts w:ascii="Arial" w:eastAsia="Garamond" w:hAnsi="Arial"/>
          <w:sz w:val="18"/>
          <w:lang w:val="en-US"/>
        </w:rPr>
        <w:t>Source: Authors’ calculations based on data from INEGI. See Equation (</w:t>
      </w:r>
      <w:r w:rsidR="00566BC9">
        <w:rPr>
          <w:rFonts w:ascii="Arial" w:eastAsia="Garamond" w:hAnsi="Arial"/>
          <w:sz w:val="18"/>
          <w:lang w:val="en-US"/>
        </w:rPr>
        <w:t>3</w:t>
      </w:r>
      <w:r w:rsidRPr="001D2456">
        <w:rPr>
          <w:rFonts w:ascii="Arial" w:eastAsia="Garamond" w:hAnsi="Arial"/>
          <w:sz w:val="18"/>
          <w:lang w:val="en-US"/>
        </w:rPr>
        <w:t xml:space="preserve">) in the text and sections A1 and A3 </w:t>
      </w:r>
      <w:r w:rsidR="001D2456">
        <w:rPr>
          <w:rFonts w:ascii="Arial" w:eastAsia="Garamond" w:hAnsi="Arial"/>
          <w:sz w:val="18"/>
          <w:lang w:val="en-US"/>
        </w:rPr>
        <w:t xml:space="preserve">in this appendix </w:t>
      </w:r>
      <w:r w:rsidRPr="001D2456">
        <w:rPr>
          <w:rFonts w:ascii="Arial" w:eastAsia="Garamond" w:hAnsi="Arial"/>
          <w:sz w:val="18"/>
          <w:lang w:val="en-US"/>
        </w:rPr>
        <w:t>for details.</w:t>
      </w:r>
    </w:p>
    <w:p w:rsidR="001D2456" w:rsidRPr="001D2456" w:rsidRDefault="001D2456" w:rsidP="00F76D68">
      <w:pPr>
        <w:rPr>
          <w:rFonts w:ascii="Arial" w:eastAsia="Garamond" w:hAnsi="Arial"/>
          <w:sz w:val="18"/>
          <w:lang w:val="en-US"/>
        </w:rPr>
      </w:pPr>
    </w:p>
    <w:p w:rsidR="00E97416" w:rsidRPr="001D2456" w:rsidRDefault="00E97416" w:rsidP="00F76D68">
      <w:pPr>
        <w:rPr>
          <w:rFonts w:ascii="Arial" w:eastAsia="Garamond" w:hAnsi="Arial"/>
          <w:sz w:val="18"/>
          <w:lang w:val="en-US"/>
        </w:rPr>
      </w:pPr>
      <w:r w:rsidRPr="001D2456">
        <w:rPr>
          <w:rFonts w:ascii="Arial" w:eastAsia="Garamond" w:hAnsi="Arial"/>
          <w:sz w:val="18"/>
          <w:lang w:val="en-US"/>
        </w:rPr>
        <w:t xml:space="preserve">Figure A5: </w:t>
      </w:r>
      <w:r w:rsidRPr="001D2456">
        <w:rPr>
          <w:rFonts w:ascii="Arial" w:eastAsia="Garamond" w:hAnsi="Arial"/>
          <w:i/>
          <w:sz w:val="18"/>
          <w:lang w:val="en-US"/>
        </w:rPr>
        <w:t>AWS</w:t>
      </w:r>
      <w:r w:rsidRPr="001D2456">
        <w:rPr>
          <w:rFonts w:ascii="Arial" w:eastAsia="Garamond" w:hAnsi="Arial"/>
          <w:sz w:val="18"/>
          <w:lang w:val="en-US"/>
        </w:rPr>
        <w:t xml:space="preserve"> and productivity ratio in accommodation and food services, 1995–2015</w:t>
      </w:r>
    </w:p>
    <w:p w:rsidR="00E97416" w:rsidRPr="001D2456" w:rsidRDefault="0096373A" w:rsidP="00F76D68">
      <w:pPr>
        <w:suppressAutoHyphens/>
        <w:rPr>
          <w:rFonts w:ascii="Arial" w:eastAsia="Garamond" w:hAnsi="Arial"/>
          <w:sz w:val="18"/>
          <w:lang w:val="en-US" w:eastAsia="es-MX"/>
        </w:rPr>
      </w:pPr>
      <w:r w:rsidRPr="004576B2">
        <w:rPr>
          <w:rFonts w:ascii="Arial" w:eastAsia="Garamond" w:hAnsi="Arial"/>
          <w:noProof/>
          <w:sz w:val="18"/>
          <w:lang w:eastAsia="es-MX"/>
        </w:rPr>
        <w:drawing>
          <wp:inline distT="0" distB="0" distL="0" distR="0">
            <wp:extent cx="4937760" cy="358584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7760" cy="3585845"/>
                    </a:xfrm>
                    <a:prstGeom prst="rect">
                      <a:avLst/>
                    </a:prstGeom>
                    <a:noFill/>
                    <a:ln>
                      <a:noFill/>
                    </a:ln>
                  </pic:spPr>
                </pic:pic>
              </a:graphicData>
            </a:graphic>
          </wp:inline>
        </w:drawing>
      </w:r>
    </w:p>
    <w:p w:rsidR="00E97416" w:rsidRPr="001D2456" w:rsidRDefault="00E97416" w:rsidP="00F76D68">
      <w:pPr>
        <w:suppressAutoHyphens/>
        <w:rPr>
          <w:rFonts w:ascii="Arial" w:eastAsia="Garamond" w:hAnsi="Arial"/>
          <w:sz w:val="18"/>
          <w:lang w:val="en-US"/>
        </w:rPr>
      </w:pPr>
      <w:r w:rsidRPr="001D2456">
        <w:rPr>
          <w:rFonts w:ascii="Arial" w:eastAsia="Garamond" w:hAnsi="Arial"/>
          <w:sz w:val="18"/>
          <w:lang w:val="en-US"/>
        </w:rPr>
        <w:t xml:space="preserve">Note: Productivity ratio of wage-employment to self-employment </w:t>
      </w:r>
      <w:r w:rsidR="001D2456">
        <w:rPr>
          <w:rFonts w:ascii="Arial" w:eastAsia="Garamond" w:hAnsi="Arial"/>
          <w:sz w:val="18"/>
          <w:lang w:val="en-US"/>
        </w:rPr>
        <w:t>sub</w:t>
      </w:r>
      <w:r w:rsidRPr="001D2456">
        <w:rPr>
          <w:rFonts w:ascii="Arial" w:eastAsia="Garamond" w:hAnsi="Arial"/>
          <w:sz w:val="18"/>
          <w:lang w:val="en-US"/>
        </w:rPr>
        <w:t>sector.</w:t>
      </w:r>
    </w:p>
    <w:p w:rsidR="00E97416" w:rsidRDefault="00E97416" w:rsidP="00F76D68">
      <w:pPr>
        <w:rPr>
          <w:rFonts w:ascii="Arial" w:eastAsia="Garamond" w:hAnsi="Arial"/>
          <w:sz w:val="18"/>
          <w:lang w:val="en-US"/>
        </w:rPr>
      </w:pPr>
      <w:r w:rsidRPr="001D2456">
        <w:rPr>
          <w:rFonts w:ascii="Arial" w:eastAsia="Garamond" w:hAnsi="Arial"/>
          <w:sz w:val="18"/>
          <w:lang w:val="en-US"/>
        </w:rPr>
        <w:t xml:space="preserve">Source: Authors’ calculations based on </w:t>
      </w:r>
      <w:r w:rsidR="00566BC9">
        <w:rPr>
          <w:rFonts w:ascii="Arial" w:eastAsia="Garamond" w:hAnsi="Arial"/>
          <w:sz w:val="18"/>
          <w:lang w:val="en-US"/>
        </w:rPr>
        <w:t>data from INEGI. See Equation (3</w:t>
      </w:r>
      <w:r w:rsidRPr="001D2456">
        <w:rPr>
          <w:rFonts w:ascii="Arial" w:eastAsia="Garamond" w:hAnsi="Arial"/>
          <w:sz w:val="18"/>
          <w:lang w:val="en-US"/>
        </w:rPr>
        <w:t xml:space="preserve">) in the text </w:t>
      </w:r>
      <w:r w:rsidR="001D2456" w:rsidRPr="001D2456">
        <w:rPr>
          <w:rFonts w:ascii="Arial" w:eastAsia="Garamond" w:hAnsi="Arial"/>
          <w:sz w:val="18"/>
          <w:lang w:val="en-US"/>
        </w:rPr>
        <w:t xml:space="preserve">sections A1 and A3 </w:t>
      </w:r>
      <w:r w:rsidR="001D2456">
        <w:rPr>
          <w:rFonts w:ascii="Arial" w:eastAsia="Garamond" w:hAnsi="Arial"/>
          <w:sz w:val="18"/>
          <w:lang w:val="en-US"/>
        </w:rPr>
        <w:t xml:space="preserve">in this appendix </w:t>
      </w:r>
      <w:r w:rsidR="001D2456" w:rsidRPr="001D2456">
        <w:rPr>
          <w:rFonts w:ascii="Arial" w:eastAsia="Garamond" w:hAnsi="Arial"/>
          <w:sz w:val="18"/>
          <w:lang w:val="en-US"/>
        </w:rPr>
        <w:t>for details</w:t>
      </w:r>
      <w:r w:rsidRPr="001D2456">
        <w:rPr>
          <w:rFonts w:ascii="Arial" w:eastAsia="Garamond" w:hAnsi="Arial"/>
          <w:sz w:val="18"/>
          <w:lang w:val="en-US"/>
        </w:rPr>
        <w:t>.</w:t>
      </w:r>
    </w:p>
    <w:p w:rsidR="001D2456" w:rsidRPr="001D2456" w:rsidRDefault="001D2456" w:rsidP="00F76D68">
      <w:pPr>
        <w:rPr>
          <w:rFonts w:ascii="Arial" w:eastAsia="Garamond" w:hAnsi="Arial"/>
          <w:sz w:val="18"/>
          <w:lang w:val="en-US"/>
        </w:rPr>
      </w:pPr>
    </w:p>
    <w:p w:rsidR="001D2456" w:rsidRDefault="001D2456" w:rsidP="00F76D68">
      <w:pPr>
        <w:rPr>
          <w:rFonts w:ascii="Arial" w:eastAsia="Garamond" w:hAnsi="Arial"/>
          <w:sz w:val="18"/>
          <w:lang w:val="en-US"/>
        </w:rPr>
      </w:pPr>
    </w:p>
    <w:p w:rsidR="001D2456" w:rsidRDefault="001D2456" w:rsidP="00F76D68">
      <w:pPr>
        <w:rPr>
          <w:rFonts w:ascii="Arial" w:eastAsia="Garamond" w:hAnsi="Arial"/>
          <w:sz w:val="18"/>
          <w:lang w:val="en-US"/>
        </w:rPr>
      </w:pPr>
    </w:p>
    <w:p w:rsidR="00E97416" w:rsidRPr="001D2456" w:rsidRDefault="00E97416" w:rsidP="00F76D68">
      <w:pPr>
        <w:rPr>
          <w:rFonts w:ascii="Arial" w:eastAsia="Garamond" w:hAnsi="Arial"/>
          <w:sz w:val="18"/>
          <w:lang w:val="en-US"/>
        </w:rPr>
      </w:pPr>
      <w:r w:rsidRPr="001D2456">
        <w:rPr>
          <w:rFonts w:ascii="Arial" w:eastAsia="Garamond" w:hAnsi="Arial"/>
          <w:sz w:val="18"/>
          <w:lang w:val="en-US"/>
        </w:rPr>
        <w:lastRenderedPageBreak/>
        <w:t xml:space="preserve">Figure A6: </w:t>
      </w:r>
      <w:r w:rsidRPr="001D2456">
        <w:rPr>
          <w:rFonts w:ascii="Arial" w:eastAsia="Garamond" w:hAnsi="Arial"/>
          <w:i/>
          <w:sz w:val="18"/>
          <w:lang w:val="en-US"/>
        </w:rPr>
        <w:t>AWS</w:t>
      </w:r>
      <w:r w:rsidRPr="001D2456">
        <w:rPr>
          <w:rFonts w:ascii="Arial" w:eastAsia="Garamond" w:hAnsi="Arial"/>
          <w:sz w:val="18"/>
          <w:lang w:val="en-US"/>
        </w:rPr>
        <w:t xml:space="preserve"> and productivity ratio in professional, scientific, and technical services, 1995–2015</w:t>
      </w:r>
    </w:p>
    <w:p w:rsidR="00E97416" w:rsidRPr="001D2456" w:rsidRDefault="0096373A" w:rsidP="00F76D68">
      <w:pPr>
        <w:suppressAutoHyphens/>
        <w:rPr>
          <w:rFonts w:ascii="Arial" w:eastAsia="Garamond" w:hAnsi="Arial"/>
          <w:sz w:val="18"/>
          <w:lang w:val="en-US"/>
        </w:rPr>
      </w:pPr>
      <w:r w:rsidRPr="004576B2">
        <w:rPr>
          <w:rFonts w:ascii="Arial" w:eastAsia="Garamond" w:hAnsi="Arial"/>
          <w:noProof/>
          <w:sz w:val="18"/>
          <w:lang w:eastAsia="es-MX"/>
        </w:rPr>
        <w:drawing>
          <wp:inline distT="0" distB="0" distL="0" distR="0">
            <wp:extent cx="4937760" cy="3585845"/>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37760" cy="3585845"/>
                    </a:xfrm>
                    <a:prstGeom prst="rect">
                      <a:avLst/>
                    </a:prstGeom>
                    <a:noFill/>
                    <a:ln>
                      <a:noFill/>
                    </a:ln>
                  </pic:spPr>
                </pic:pic>
              </a:graphicData>
            </a:graphic>
          </wp:inline>
        </w:drawing>
      </w:r>
    </w:p>
    <w:p w:rsidR="00E97416" w:rsidRPr="001D2456" w:rsidRDefault="00E97416" w:rsidP="00F76D68">
      <w:pPr>
        <w:suppressAutoHyphens/>
        <w:rPr>
          <w:rFonts w:ascii="Arial" w:eastAsia="Garamond" w:hAnsi="Arial"/>
          <w:sz w:val="18"/>
          <w:lang w:val="en-US"/>
        </w:rPr>
      </w:pPr>
      <w:bookmarkStart w:id="1" w:name="OLE_LINK1"/>
      <w:r w:rsidRPr="001D2456">
        <w:rPr>
          <w:rFonts w:ascii="Arial" w:eastAsia="Garamond" w:hAnsi="Arial"/>
          <w:sz w:val="18"/>
          <w:lang w:val="en-US"/>
        </w:rPr>
        <w:t xml:space="preserve">Note: Productivity ratio of wage-employment to self-employment </w:t>
      </w:r>
      <w:r w:rsidR="001D2456">
        <w:rPr>
          <w:rFonts w:ascii="Arial" w:eastAsia="Garamond" w:hAnsi="Arial"/>
          <w:sz w:val="18"/>
          <w:lang w:val="en-US"/>
        </w:rPr>
        <w:t>sub</w:t>
      </w:r>
      <w:r w:rsidRPr="001D2456">
        <w:rPr>
          <w:rFonts w:ascii="Arial" w:eastAsia="Garamond" w:hAnsi="Arial"/>
          <w:sz w:val="18"/>
          <w:lang w:val="en-US"/>
        </w:rPr>
        <w:t>sector.</w:t>
      </w:r>
    </w:p>
    <w:p w:rsidR="00E97416" w:rsidRDefault="00E97416" w:rsidP="00F76D68">
      <w:pPr>
        <w:rPr>
          <w:rFonts w:ascii="Arial" w:eastAsia="Garamond" w:hAnsi="Arial"/>
          <w:sz w:val="18"/>
          <w:lang w:val="en-US"/>
        </w:rPr>
      </w:pPr>
      <w:r w:rsidRPr="001D2456">
        <w:rPr>
          <w:rFonts w:ascii="Arial" w:eastAsia="Garamond" w:hAnsi="Arial"/>
          <w:sz w:val="18"/>
          <w:lang w:val="en-US"/>
        </w:rPr>
        <w:t>Source: Authors’ calculations based on data from INEGI. See Equation (</w:t>
      </w:r>
      <w:r w:rsidR="00566BC9">
        <w:rPr>
          <w:rFonts w:ascii="Arial" w:eastAsia="Garamond" w:hAnsi="Arial"/>
          <w:sz w:val="18"/>
          <w:lang w:val="en-US"/>
        </w:rPr>
        <w:t>3</w:t>
      </w:r>
      <w:r w:rsidRPr="001D2456">
        <w:rPr>
          <w:rFonts w:ascii="Arial" w:eastAsia="Garamond" w:hAnsi="Arial"/>
          <w:sz w:val="18"/>
          <w:lang w:val="en-US"/>
        </w:rPr>
        <w:t xml:space="preserve">) in the text and </w:t>
      </w:r>
      <w:r w:rsidR="001D2456" w:rsidRPr="001D2456">
        <w:rPr>
          <w:rFonts w:ascii="Arial" w:eastAsia="Garamond" w:hAnsi="Arial"/>
          <w:sz w:val="18"/>
          <w:lang w:val="en-US"/>
        </w:rPr>
        <w:t xml:space="preserve">sections A1 and A3 </w:t>
      </w:r>
      <w:r w:rsidR="001D2456">
        <w:rPr>
          <w:rFonts w:ascii="Arial" w:eastAsia="Garamond" w:hAnsi="Arial"/>
          <w:sz w:val="18"/>
          <w:lang w:val="en-US"/>
        </w:rPr>
        <w:t xml:space="preserve">in this appendix </w:t>
      </w:r>
      <w:r w:rsidR="001D2456" w:rsidRPr="001D2456">
        <w:rPr>
          <w:rFonts w:ascii="Arial" w:eastAsia="Garamond" w:hAnsi="Arial"/>
          <w:sz w:val="18"/>
          <w:lang w:val="en-US"/>
        </w:rPr>
        <w:t>for details</w:t>
      </w:r>
      <w:r w:rsidRPr="001D2456">
        <w:rPr>
          <w:rFonts w:ascii="Arial" w:eastAsia="Garamond" w:hAnsi="Arial"/>
          <w:sz w:val="18"/>
          <w:lang w:val="en-US"/>
        </w:rPr>
        <w:t>.</w:t>
      </w:r>
    </w:p>
    <w:p w:rsidR="001D2456" w:rsidRPr="001D2456" w:rsidRDefault="001D2456" w:rsidP="00F76D68">
      <w:pPr>
        <w:rPr>
          <w:rFonts w:ascii="Arial" w:eastAsia="Garamond" w:hAnsi="Arial"/>
          <w:sz w:val="18"/>
          <w:lang w:val="en-US"/>
        </w:rPr>
      </w:pPr>
    </w:p>
    <w:p w:rsidR="00E97416" w:rsidRPr="001D2456" w:rsidRDefault="00E97416" w:rsidP="00F76D68">
      <w:pPr>
        <w:rPr>
          <w:rFonts w:ascii="Arial" w:eastAsia="Garamond" w:hAnsi="Arial"/>
          <w:sz w:val="18"/>
          <w:lang w:val="en-US"/>
        </w:rPr>
      </w:pPr>
      <w:r w:rsidRPr="001D2456">
        <w:rPr>
          <w:rFonts w:ascii="Arial" w:eastAsia="Garamond" w:hAnsi="Arial"/>
          <w:sz w:val="18"/>
          <w:lang w:val="en-US"/>
        </w:rPr>
        <w:t xml:space="preserve">Figure A7: </w:t>
      </w:r>
      <w:r w:rsidRPr="001D2456">
        <w:rPr>
          <w:rFonts w:ascii="Arial" w:eastAsia="Garamond" w:hAnsi="Arial"/>
          <w:i/>
          <w:sz w:val="18"/>
          <w:lang w:val="en-US"/>
        </w:rPr>
        <w:t>AWS</w:t>
      </w:r>
      <w:r w:rsidRPr="001D2456">
        <w:rPr>
          <w:rFonts w:ascii="Arial" w:eastAsia="Garamond" w:hAnsi="Arial"/>
          <w:sz w:val="18"/>
          <w:lang w:val="en-US"/>
        </w:rPr>
        <w:t xml:space="preserve"> and productivity ratio in other services, 1995–2015</w:t>
      </w:r>
    </w:p>
    <w:p w:rsidR="00E97416" w:rsidRPr="001D2456" w:rsidRDefault="0096373A" w:rsidP="00F76D68">
      <w:pPr>
        <w:suppressAutoHyphens/>
        <w:rPr>
          <w:rFonts w:ascii="Arial" w:eastAsia="Garamond" w:hAnsi="Arial"/>
          <w:sz w:val="18"/>
          <w:lang w:val="en-US"/>
        </w:rPr>
      </w:pPr>
      <w:r w:rsidRPr="004576B2">
        <w:rPr>
          <w:rFonts w:ascii="Arial" w:eastAsia="Garamond" w:hAnsi="Arial"/>
          <w:noProof/>
          <w:sz w:val="18"/>
          <w:lang w:eastAsia="es-MX"/>
        </w:rPr>
        <w:drawing>
          <wp:inline distT="0" distB="0" distL="0" distR="0">
            <wp:extent cx="4937760" cy="3585845"/>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37760" cy="3585845"/>
                    </a:xfrm>
                    <a:prstGeom prst="rect">
                      <a:avLst/>
                    </a:prstGeom>
                    <a:noFill/>
                    <a:ln>
                      <a:noFill/>
                    </a:ln>
                  </pic:spPr>
                </pic:pic>
              </a:graphicData>
            </a:graphic>
          </wp:inline>
        </w:drawing>
      </w:r>
    </w:p>
    <w:bookmarkEnd w:id="1"/>
    <w:p w:rsidR="00E97416" w:rsidRPr="001D2456" w:rsidRDefault="00E97416" w:rsidP="00F76D68">
      <w:pPr>
        <w:suppressAutoHyphens/>
        <w:rPr>
          <w:rFonts w:ascii="Arial" w:eastAsia="Garamond" w:hAnsi="Arial"/>
          <w:sz w:val="18"/>
          <w:lang w:val="en-US"/>
        </w:rPr>
      </w:pPr>
      <w:r w:rsidRPr="001D2456">
        <w:rPr>
          <w:rFonts w:ascii="Arial" w:eastAsia="Garamond" w:hAnsi="Arial"/>
          <w:sz w:val="18"/>
          <w:lang w:val="en-US"/>
        </w:rPr>
        <w:t xml:space="preserve">Note: Productivity ratio of wage-employment to self-employment </w:t>
      </w:r>
      <w:r w:rsidR="001D2456">
        <w:rPr>
          <w:rFonts w:ascii="Arial" w:eastAsia="Garamond" w:hAnsi="Arial"/>
          <w:sz w:val="18"/>
          <w:lang w:val="en-US"/>
        </w:rPr>
        <w:t>sub</w:t>
      </w:r>
      <w:r w:rsidRPr="001D2456">
        <w:rPr>
          <w:rFonts w:ascii="Arial" w:eastAsia="Garamond" w:hAnsi="Arial"/>
          <w:sz w:val="18"/>
          <w:lang w:val="en-US"/>
        </w:rPr>
        <w:t>sector.</w:t>
      </w:r>
    </w:p>
    <w:p w:rsidR="00E97416" w:rsidRPr="001D2456" w:rsidRDefault="00E97416" w:rsidP="00F76D68">
      <w:pPr>
        <w:rPr>
          <w:rFonts w:ascii="Arial" w:eastAsia="Garamond" w:hAnsi="Arial"/>
          <w:sz w:val="18"/>
          <w:lang w:val="en-US"/>
        </w:rPr>
      </w:pPr>
      <w:r w:rsidRPr="001D2456">
        <w:rPr>
          <w:rFonts w:ascii="Arial" w:eastAsia="Garamond" w:hAnsi="Arial"/>
          <w:sz w:val="18"/>
          <w:lang w:val="en-US"/>
        </w:rPr>
        <w:t xml:space="preserve">Source: Authors’ calculations based on </w:t>
      </w:r>
      <w:r w:rsidR="00566BC9">
        <w:rPr>
          <w:rFonts w:ascii="Arial" w:eastAsia="Garamond" w:hAnsi="Arial"/>
          <w:sz w:val="18"/>
          <w:lang w:val="en-US"/>
        </w:rPr>
        <w:t>data from INEGI. See Equation (3</w:t>
      </w:r>
      <w:r w:rsidRPr="001D2456">
        <w:rPr>
          <w:rFonts w:ascii="Arial" w:eastAsia="Garamond" w:hAnsi="Arial"/>
          <w:sz w:val="18"/>
          <w:lang w:val="en-US"/>
        </w:rPr>
        <w:t xml:space="preserve">) in the text and </w:t>
      </w:r>
      <w:r w:rsidR="001D2456" w:rsidRPr="001D2456">
        <w:rPr>
          <w:rFonts w:ascii="Arial" w:eastAsia="Garamond" w:hAnsi="Arial"/>
          <w:sz w:val="18"/>
          <w:lang w:val="en-US"/>
        </w:rPr>
        <w:t xml:space="preserve">sections A1 and A3 </w:t>
      </w:r>
      <w:r w:rsidR="001D2456">
        <w:rPr>
          <w:rFonts w:ascii="Arial" w:eastAsia="Garamond" w:hAnsi="Arial"/>
          <w:sz w:val="18"/>
          <w:lang w:val="en-US"/>
        </w:rPr>
        <w:t xml:space="preserve">in this appendix </w:t>
      </w:r>
      <w:r w:rsidR="001D2456" w:rsidRPr="001D2456">
        <w:rPr>
          <w:rFonts w:ascii="Arial" w:eastAsia="Garamond" w:hAnsi="Arial"/>
          <w:sz w:val="18"/>
          <w:lang w:val="en-US"/>
        </w:rPr>
        <w:t>for details</w:t>
      </w:r>
      <w:r w:rsidRPr="001D2456">
        <w:rPr>
          <w:rFonts w:ascii="Arial" w:eastAsia="Garamond" w:hAnsi="Arial"/>
          <w:sz w:val="18"/>
          <w:lang w:val="en-US"/>
        </w:rPr>
        <w:t>.</w:t>
      </w:r>
    </w:p>
    <w:p w:rsidR="00F76D68" w:rsidRPr="001D2456" w:rsidRDefault="00F76D68" w:rsidP="00F76D68">
      <w:pPr>
        <w:rPr>
          <w:rFonts w:ascii="Arial" w:eastAsia="Garamond" w:hAnsi="Arial"/>
          <w:sz w:val="18"/>
          <w:lang w:val="en-US"/>
        </w:rPr>
      </w:pPr>
    </w:p>
    <w:p w:rsidR="00F76D68" w:rsidRPr="001D2456" w:rsidRDefault="00F76D68" w:rsidP="00F76D68">
      <w:pPr>
        <w:rPr>
          <w:rFonts w:ascii="Arial" w:eastAsia="Garamond" w:hAnsi="Arial"/>
          <w:sz w:val="18"/>
          <w:lang w:val="en-US"/>
        </w:rPr>
      </w:pPr>
    </w:p>
    <w:p w:rsidR="00F76D68" w:rsidRDefault="00F76D68" w:rsidP="00F76D68">
      <w:pPr>
        <w:rPr>
          <w:rFonts w:ascii="Arial" w:eastAsia="Garamond" w:hAnsi="Arial"/>
          <w:sz w:val="18"/>
          <w:lang w:val="en-US"/>
        </w:rPr>
      </w:pPr>
    </w:p>
    <w:sectPr w:rsidR="00F76D68" w:rsidSect="00F76D68">
      <w:headerReference w:type="default" r:id="rId16"/>
      <w:footerReference w:type="default" r:id="rId17"/>
      <w:pgSz w:w="11906" w:h="16838" w:code="9"/>
      <w:pgMar w:top="1440" w:right="1440" w:bottom="1440" w:left="1440" w:header="709" w:footer="709" w:gutter="0"/>
      <w:paperSrc w:first="1025" w:other="102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910" w:rsidRDefault="00BF5910">
      <w:r>
        <w:separator/>
      </w:r>
    </w:p>
  </w:endnote>
  <w:endnote w:type="continuationSeparator" w:id="0">
    <w:p w:rsidR="00BF5910" w:rsidRDefault="00BF5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4C0" w:rsidRDefault="006C14C0" w:rsidP="00F76D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0B75">
      <w:rPr>
        <w:rStyle w:val="PageNumber"/>
        <w:noProof/>
      </w:rPr>
      <w:t>1</w:t>
    </w:r>
    <w:r>
      <w:rPr>
        <w:rStyle w:val="PageNumber"/>
      </w:rPr>
      <w:fldChar w:fldCharType="end"/>
    </w:r>
  </w:p>
  <w:p w:rsidR="006C14C0" w:rsidRDefault="006C14C0" w:rsidP="00F76D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4C0" w:rsidRDefault="006C14C0" w:rsidP="00F76D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0B75">
      <w:rPr>
        <w:rStyle w:val="PageNumber"/>
        <w:noProof/>
      </w:rPr>
      <w:t>10</w:t>
    </w:r>
    <w:r>
      <w:rPr>
        <w:rStyle w:val="PageNumber"/>
      </w:rPr>
      <w:fldChar w:fldCharType="end"/>
    </w:r>
  </w:p>
  <w:p w:rsidR="006C14C0" w:rsidRPr="00E42022" w:rsidRDefault="006C14C0" w:rsidP="00F76D68">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910" w:rsidRDefault="00BF5910">
      <w:r>
        <w:separator/>
      </w:r>
    </w:p>
  </w:footnote>
  <w:footnote w:type="continuationSeparator" w:id="0">
    <w:p w:rsidR="00BF5910" w:rsidRDefault="00BF59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4C0" w:rsidRPr="00A15AB8" w:rsidRDefault="006C14C0" w:rsidP="00F76D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4C0" w:rsidRDefault="006C14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46C96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0F09DB"/>
    <w:multiLevelType w:val="hybridMultilevel"/>
    <w:tmpl w:val="F1A4AE02"/>
    <w:lvl w:ilvl="0" w:tplc="0974F0A8">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F3206D8"/>
    <w:multiLevelType w:val="hybridMultilevel"/>
    <w:tmpl w:val="FC863098"/>
    <w:lvl w:ilvl="0" w:tplc="2E96BBF4">
      <w:start w:val="1"/>
      <w:numFmt w:val="bullet"/>
      <w:pStyle w:val="Bullets"/>
      <w:lvlText w:val=""/>
      <w:lvlJc w:val="left"/>
      <w:pPr>
        <w:ind w:left="757"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619C755D"/>
    <w:multiLevelType w:val="hybridMultilevel"/>
    <w:tmpl w:val="6D3A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416"/>
    <w:rsid w:val="000C6C2C"/>
    <w:rsid w:val="000C7BB5"/>
    <w:rsid w:val="001457CD"/>
    <w:rsid w:val="001646FC"/>
    <w:rsid w:val="001D2456"/>
    <w:rsid w:val="003B3AFE"/>
    <w:rsid w:val="00446764"/>
    <w:rsid w:val="004576B2"/>
    <w:rsid w:val="004833C4"/>
    <w:rsid w:val="00566BC9"/>
    <w:rsid w:val="005B406A"/>
    <w:rsid w:val="005C7249"/>
    <w:rsid w:val="006111BC"/>
    <w:rsid w:val="00612EA9"/>
    <w:rsid w:val="006A33C3"/>
    <w:rsid w:val="006C14C0"/>
    <w:rsid w:val="008833FF"/>
    <w:rsid w:val="008A6330"/>
    <w:rsid w:val="009413CB"/>
    <w:rsid w:val="0096373A"/>
    <w:rsid w:val="009D7433"/>
    <w:rsid w:val="00A849EE"/>
    <w:rsid w:val="00B10E46"/>
    <w:rsid w:val="00B15130"/>
    <w:rsid w:val="00B524E2"/>
    <w:rsid w:val="00B7131E"/>
    <w:rsid w:val="00BD5BF3"/>
    <w:rsid w:val="00BF5910"/>
    <w:rsid w:val="00C40B75"/>
    <w:rsid w:val="00CC62B1"/>
    <w:rsid w:val="00D179C8"/>
    <w:rsid w:val="00E97416"/>
    <w:rsid w:val="00EE0A39"/>
    <w:rsid w:val="00F1007B"/>
    <w:rsid w:val="00F76D68"/>
    <w:rsid w:val="00F862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CD4D"/>
  <w15:chartTrackingRefBased/>
  <w15:docId w15:val="{B2FDEA02-973E-4641-A0FD-E7737813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2"/>
      <w:lang w:eastAsia="en-US"/>
    </w:rPr>
  </w:style>
  <w:style w:type="paragraph" w:styleId="Heading1">
    <w:name w:val="heading 1"/>
    <w:basedOn w:val="Normal"/>
    <w:next w:val="Normal"/>
    <w:link w:val="Heading1Char1"/>
    <w:uiPriority w:val="9"/>
    <w:qFormat/>
    <w:rsid w:val="00E97416"/>
    <w:pPr>
      <w:keepNext/>
      <w:keepLines/>
      <w:spacing w:before="240"/>
      <w:outlineLvl w:val="0"/>
    </w:pPr>
    <w:rPr>
      <w:rFonts w:ascii="Calibri Light" w:eastAsia="Times New Roman" w:hAnsi="Calibri Light"/>
      <w:color w:val="2E74B5"/>
      <w:sz w:val="32"/>
      <w:szCs w:val="32"/>
    </w:rPr>
  </w:style>
  <w:style w:type="paragraph" w:styleId="Heading2">
    <w:name w:val="heading 2"/>
    <w:basedOn w:val="Heading1"/>
    <w:next w:val="Normal"/>
    <w:link w:val="Heading2Char"/>
    <w:qFormat/>
    <w:rsid w:val="00E97416"/>
    <w:pPr>
      <w:keepNext w:val="0"/>
      <w:keepLines w:val="0"/>
      <w:tabs>
        <w:tab w:val="left" w:pos="567"/>
      </w:tabs>
      <w:suppressAutoHyphens/>
      <w:spacing w:after="480"/>
      <w:ind w:left="567" w:hanging="567"/>
      <w:jc w:val="both"/>
      <w:outlineLvl w:val="1"/>
    </w:pPr>
    <w:rPr>
      <w:b/>
      <w:color w:val="auto"/>
      <w:sz w:val="24"/>
      <w:szCs w:val="26"/>
      <w:lang w:val="fi-FI"/>
    </w:rPr>
  </w:style>
  <w:style w:type="paragraph" w:styleId="Heading3">
    <w:name w:val="heading 3"/>
    <w:basedOn w:val="Heading2"/>
    <w:next w:val="Normal"/>
    <w:link w:val="Heading3Char"/>
    <w:qFormat/>
    <w:rsid w:val="00E97416"/>
    <w:pPr>
      <w:ind w:left="0" w:firstLine="0"/>
      <w:outlineLvl w:val="2"/>
    </w:pPr>
    <w:rPr>
      <w:b w:val="0"/>
      <w:bCs/>
      <w:i/>
    </w:rPr>
  </w:style>
  <w:style w:type="paragraph" w:styleId="Heading9">
    <w:name w:val="heading 9"/>
    <w:basedOn w:val="Normal"/>
    <w:next w:val="Normal"/>
    <w:link w:val="Heading9Char"/>
    <w:qFormat/>
    <w:rsid w:val="00E97416"/>
    <w:pPr>
      <w:keepNext/>
      <w:keepLines/>
      <w:spacing w:before="40"/>
      <w:outlineLvl w:val="8"/>
    </w:pPr>
    <w:rPr>
      <w:rFonts w:ascii="Arial" w:eastAsia="MS PMincho" w:hAnsi="Arial"/>
      <w:iCs/>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qFormat/>
    <w:rsid w:val="00E97416"/>
    <w:pPr>
      <w:tabs>
        <w:tab w:val="left" w:pos="567"/>
      </w:tabs>
      <w:suppressAutoHyphens/>
      <w:spacing w:before="480" w:after="480"/>
      <w:ind w:left="567" w:hanging="567"/>
      <w:jc w:val="both"/>
      <w:outlineLvl w:val="0"/>
    </w:pPr>
    <w:rPr>
      <w:rFonts w:ascii="Garamond" w:eastAsia="MS PMincho" w:hAnsi="Garamond"/>
      <w:b/>
      <w:bCs/>
      <w:szCs w:val="28"/>
    </w:rPr>
  </w:style>
  <w:style w:type="character" w:customStyle="1" w:styleId="Heading2Char">
    <w:name w:val="Heading 2 Char"/>
    <w:link w:val="Heading2"/>
    <w:rsid w:val="00E97416"/>
    <w:rPr>
      <w:rFonts w:ascii="Calibri Light" w:eastAsia="Times New Roman" w:hAnsi="Calibri Light" w:cs="Times New Roman"/>
      <w:b/>
      <w:szCs w:val="26"/>
      <w:lang w:val="fi-FI"/>
    </w:rPr>
  </w:style>
  <w:style w:type="character" w:customStyle="1" w:styleId="Heading3Char">
    <w:name w:val="Heading 3 Char"/>
    <w:link w:val="Heading3"/>
    <w:rsid w:val="00E97416"/>
    <w:rPr>
      <w:rFonts w:ascii="Calibri Light" w:eastAsia="Times New Roman" w:hAnsi="Calibri Light" w:cs="Times New Roman"/>
      <w:bCs/>
      <w:i/>
      <w:szCs w:val="26"/>
      <w:lang w:val="fi-FI"/>
    </w:rPr>
  </w:style>
  <w:style w:type="paragraph" w:customStyle="1" w:styleId="Heading91">
    <w:name w:val="Heading 91"/>
    <w:next w:val="Normal"/>
    <w:qFormat/>
    <w:rsid w:val="00E97416"/>
    <w:pPr>
      <w:suppressAutoHyphens/>
      <w:spacing w:before="240" w:after="120"/>
      <w:outlineLvl w:val="8"/>
    </w:pPr>
    <w:rPr>
      <w:rFonts w:ascii="Arial" w:eastAsia="MS PMincho" w:hAnsi="Arial"/>
      <w:iCs/>
      <w:sz w:val="18"/>
      <w:lang w:val="fi-FI" w:eastAsia="en-US"/>
    </w:rPr>
  </w:style>
  <w:style w:type="numbering" w:customStyle="1" w:styleId="NoList1">
    <w:name w:val="No List1"/>
    <w:next w:val="NoList"/>
    <w:uiPriority w:val="99"/>
    <w:semiHidden/>
    <w:unhideWhenUsed/>
    <w:rsid w:val="00E97416"/>
  </w:style>
  <w:style w:type="character" w:customStyle="1" w:styleId="Heading1Char">
    <w:name w:val="Heading 1 Char"/>
    <w:link w:val="Heading11"/>
    <w:rsid w:val="00E97416"/>
    <w:rPr>
      <w:rFonts w:ascii="Garamond" w:eastAsia="MS PMincho" w:hAnsi="Garamond" w:cs="Times New Roman"/>
      <w:b/>
      <w:bCs/>
      <w:sz w:val="24"/>
      <w:szCs w:val="28"/>
    </w:rPr>
  </w:style>
  <w:style w:type="character" w:customStyle="1" w:styleId="Heading9Char">
    <w:name w:val="Heading 9 Char"/>
    <w:link w:val="Heading9"/>
    <w:rsid w:val="00E97416"/>
    <w:rPr>
      <w:rFonts w:ascii="Arial" w:eastAsia="MS PMincho" w:hAnsi="Arial" w:cs="Times New Roman"/>
      <w:iCs/>
      <w:sz w:val="18"/>
      <w:szCs w:val="20"/>
    </w:rPr>
  </w:style>
  <w:style w:type="paragraph" w:styleId="FootnoteText">
    <w:name w:val="footnote text"/>
    <w:basedOn w:val="Normal"/>
    <w:link w:val="FootnoteTextChar"/>
    <w:qFormat/>
    <w:rsid w:val="00E97416"/>
    <w:pPr>
      <w:tabs>
        <w:tab w:val="left" w:pos="170"/>
      </w:tabs>
      <w:suppressAutoHyphens/>
      <w:spacing w:after="80"/>
      <w:jc w:val="both"/>
    </w:pPr>
    <w:rPr>
      <w:rFonts w:ascii="Garamond" w:hAnsi="Garamond"/>
      <w:sz w:val="20"/>
      <w:szCs w:val="20"/>
      <w:lang w:val="en-GB"/>
    </w:rPr>
  </w:style>
  <w:style w:type="character" w:customStyle="1" w:styleId="FootnoteTextChar">
    <w:name w:val="Footnote Text Char"/>
    <w:link w:val="FootnoteText"/>
    <w:rsid w:val="00E97416"/>
    <w:rPr>
      <w:rFonts w:ascii="Garamond" w:hAnsi="Garamond"/>
      <w:sz w:val="20"/>
      <w:szCs w:val="20"/>
      <w:lang w:val="en-GB"/>
    </w:rPr>
  </w:style>
  <w:style w:type="paragraph" w:customStyle="1" w:styleId="Table-text">
    <w:name w:val="Table-text"/>
    <w:link w:val="Table-textChar"/>
    <w:qFormat/>
    <w:rsid w:val="00E97416"/>
    <w:pPr>
      <w:suppressAutoHyphens/>
    </w:pPr>
    <w:rPr>
      <w:rFonts w:ascii="Arial" w:hAnsi="Arial"/>
      <w:sz w:val="18"/>
      <w:szCs w:val="22"/>
      <w:lang w:val="fi-FI" w:eastAsia="en-US"/>
    </w:rPr>
  </w:style>
  <w:style w:type="character" w:customStyle="1" w:styleId="Table-textChar">
    <w:name w:val="Table-text Char"/>
    <w:link w:val="Table-text"/>
    <w:rsid w:val="00E97416"/>
    <w:rPr>
      <w:rFonts w:ascii="Arial" w:hAnsi="Arial"/>
      <w:sz w:val="18"/>
      <w:lang w:val="fi-FI"/>
    </w:rPr>
  </w:style>
  <w:style w:type="paragraph" w:customStyle="1" w:styleId="Table-notes">
    <w:name w:val="Table-notes"/>
    <w:basedOn w:val="Table-text"/>
    <w:link w:val="Table-notesChar"/>
    <w:qFormat/>
    <w:rsid w:val="00E97416"/>
    <w:pPr>
      <w:spacing w:before="120" w:after="120"/>
    </w:pPr>
  </w:style>
  <w:style w:type="character" w:customStyle="1" w:styleId="Table-notesChar">
    <w:name w:val="Table-notes Char"/>
    <w:link w:val="Table-notes"/>
    <w:rsid w:val="00E97416"/>
    <w:rPr>
      <w:rFonts w:ascii="Arial" w:hAnsi="Arial"/>
      <w:sz w:val="18"/>
      <w:lang w:val="fi-FI"/>
    </w:rPr>
  </w:style>
  <w:style w:type="paragraph" w:customStyle="1" w:styleId="Biblio">
    <w:name w:val="Biblio"/>
    <w:qFormat/>
    <w:rsid w:val="00E97416"/>
    <w:pPr>
      <w:suppressAutoHyphens/>
      <w:spacing w:after="120"/>
      <w:ind w:left="454" w:hanging="454"/>
      <w:jc w:val="both"/>
    </w:pPr>
    <w:rPr>
      <w:rFonts w:ascii="Garamond" w:hAnsi="Garamond"/>
      <w:sz w:val="24"/>
      <w:szCs w:val="22"/>
      <w:lang w:val="fi-FI" w:eastAsia="en-US"/>
    </w:rPr>
  </w:style>
  <w:style w:type="paragraph" w:styleId="Header">
    <w:name w:val="header"/>
    <w:basedOn w:val="Normal"/>
    <w:link w:val="HeaderChar"/>
    <w:uiPriority w:val="99"/>
    <w:semiHidden/>
    <w:rsid w:val="00E97416"/>
    <w:pPr>
      <w:tabs>
        <w:tab w:val="center" w:pos="4819"/>
        <w:tab w:val="right" w:pos="9638"/>
      </w:tabs>
      <w:suppressAutoHyphens/>
      <w:spacing w:after="240"/>
      <w:jc w:val="both"/>
    </w:pPr>
    <w:rPr>
      <w:rFonts w:ascii="Garamond" w:hAnsi="Garamond"/>
      <w:lang w:val="fi-FI"/>
    </w:rPr>
  </w:style>
  <w:style w:type="character" w:customStyle="1" w:styleId="HeaderChar">
    <w:name w:val="Header Char"/>
    <w:link w:val="Header"/>
    <w:uiPriority w:val="99"/>
    <w:semiHidden/>
    <w:rsid w:val="00E97416"/>
    <w:rPr>
      <w:rFonts w:ascii="Garamond" w:hAnsi="Garamond"/>
      <w:lang w:val="fi-FI"/>
    </w:rPr>
  </w:style>
  <w:style w:type="paragraph" w:styleId="Footer">
    <w:name w:val="footer"/>
    <w:basedOn w:val="Normal"/>
    <w:link w:val="FooterChar"/>
    <w:uiPriority w:val="99"/>
    <w:semiHidden/>
    <w:rsid w:val="00E97416"/>
    <w:pPr>
      <w:tabs>
        <w:tab w:val="center" w:pos="4819"/>
        <w:tab w:val="right" w:pos="9638"/>
      </w:tabs>
      <w:suppressAutoHyphens/>
      <w:spacing w:after="240"/>
      <w:jc w:val="both"/>
    </w:pPr>
    <w:rPr>
      <w:rFonts w:ascii="Garamond" w:hAnsi="Garamond"/>
      <w:lang w:val="fi-FI"/>
    </w:rPr>
  </w:style>
  <w:style w:type="character" w:customStyle="1" w:styleId="FooterChar">
    <w:name w:val="Footer Char"/>
    <w:link w:val="Footer"/>
    <w:uiPriority w:val="99"/>
    <w:semiHidden/>
    <w:rsid w:val="00E97416"/>
    <w:rPr>
      <w:rFonts w:ascii="Garamond" w:hAnsi="Garamond"/>
      <w:lang w:val="fi-FI"/>
    </w:rPr>
  </w:style>
  <w:style w:type="character" w:customStyle="1" w:styleId="Table-superscript">
    <w:name w:val="Table-superscript"/>
    <w:qFormat/>
    <w:rsid w:val="00E97416"/>
    <w:rPr>
      <w:rFonts w:ascii="Arial" w:hAnsi="Arial"/>
      <w:position w:val="6"/>
      <w:sz w:val="14"/>
    </w:rPr>
  </w:style>
  <w:style w:type="paragraph" w:customStyle="1" w:styleId="Table-title">
    <w:name w:val="Table-title"/>
    <w:link w:val="Table-titleChar"/>
    <w:qFormat/>
    <w:rsid w:val="00E97416"/>
    <w:pPr>
      <w:spacing w:before="120" w:after="120"/>
    </w:pPr>
    <w:rPr>
      <w:rFonts w:ascii="Arial" w:hAnsi="Arial"/>
      <w:sz w:val="18"/>
      <w:szCs w:val="22"/>
      <w:lang w:val="en-GB" w:eastAsia="en-US"/>
    </w:rPr>
  </w:style>
  <w:style w:type="character" w:customStyle="1" w:styleId="Table-titleChar">
    <w:name w:val="Table-title Char"/>
    <w:link w:val="Table-title"/>
    <w:rsid w:val="00E97416"/>
    <w:rPr>
      <w:rFonts w:ascii="Arial" w:hAnsi="Arial"/>
      <w:sz w:val="18"/>
      <w:lang w:val="en-GB"/>
    </w:rPr>
  </w:style>
  <w:style w:type="paragraph" w:customStyle="1" w:styleId="ColorfulList-Accent11">
    <w:name w:val="Colorful List - Accent 11"/>
    <w:basedOn w:val="Normal"/>
    <w:uiPriority w:val="34"/>
    <w:qFormat/>
    <w:rsid w:val="00E97416"/>
    <w:pPr>
      <w:suppressAutoHyphens/>
      <w:spacing w:after="240"/>
      <w:ind w:left="720"/>
      <w:contextualSpacing/>
      <w:jc w:val="both"/>
    </w:pPr>
    <w:rPr>
      <w:rFonts w:ascii="Garamond" w:hAnsi="Garamond"/>
      <w:lang w:val="fi-FI"/>
    </w:rPr>
  </w:style>
  <w:style w:type="paragraph" w:customStyle="1" w:styleId="Bullets">
    <w:name w:val="Bullets"/>
    <w:basedOn w:val="ColorfulList-Accent11"/>
    <w:next w:val="Normal"/>
    <w:qFormat/>
    <w:rsid w:val="00E97416"/>
    <w:pPr>
      <w:numPr>
        <w:numId w:val="1"/>
      </w:numPr>
      <w:ind w:left="737" w:hanging="340"/>
    </w:pPr>
    <w:rPr>
      <w:lang w:val="en-GB"/>
    </w:rPr>
  </w:style>
  <w:style w:type="paragraph" w:customStyle="1" w:styleId="Quote1">
    <w:name w:val="Quote1"/>
    <w:basedOn w:val="Normal"/>
    <w:next w:val="Normal"/>
    <w:qFormat/>
    <w:rsid w:val="00E97416"/>
    <w:pPr>
      <w:suppressAutoHyphens/>
      <w:spacing w:after="240"/>
      <w:ind w:left="737" w:right="737"/>
      <w:jc w:val="both"/>
    </w:pPr>
    <w:rPr>
      <w:rFonts w:ascii="Garamond" w:hAnsi="Garamond"/>
      <w:iCs/>
      <w:color w:val="000000"/>
      <w:lang w:val="fi-FI"/>
    </w:rPr>
  </w:style>
  <w:style w:type="character" w:customStyle="1" w:styleId="ColorfulGrid-Accent1Char">
    <w:name w:val="Colorful Grid - Accent 1 Char"/>
    <w:link w:val="ColorfulGrid-Accent11"/>
    <w:rsid w:val="00E97416"/>
    <w:rPr>
      <w:iCs/>
      <w:color w:val="000000"/>
      <w:sz w:val="24"/>
    </w:rPr>
  </w:style>
  <w:style w:type="table" w:styleId="TableGrid">
    <w:name w:val="Table Grid"/>
    <w:basedOn w:val="TableNormal"/>
    <w:uiPriority w:val="59"/>
    <w:rsid w:val="00E97416"/>
    <w:rPr>
      <w:rFonts w:ascii="Garamond" w:hAnsi="Garamond"/>
      <w:sz w:val="22"/>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Reference1">
    <w:name w:val="Footnote Reference1"/>
    <w:rsid w:val="00E97416"/>
    <w:rPr>
      <w:rFonts w:ascii="Garamond" w:hAnsi="Garamond"/>
      <w:sz w:val="24"/>
      <w:vertAlign w:val="superscript"/>
    </w:rPr>
  </w:style>
  <w:style w:type="paragraph" w:customStyle="1" w:styleId="Footer2ndpage">
    <w:name w:val="Footer 2nd page"/>
    <w:basedOn w:val="Normal"/>
    <w:link w:val="Footer2ndpageChar"/>
    <w:qFormat/>
    <w:rsid w:val="00E97416"/>
    <w:pPr>
      <w:suppressAutoHyphens/>
      <w:spacing w:after="120"/>
      <w:jc w:val="both"/>
    </w:pPr>
    <w:rPr>
      <w:rFonts w:ascii="Garamond" w:hAnsi="Garamond"/>
      <w:sz w:val="18"/>
      <w:lang w:val="en-GB"/>
    </w:rPr>
  </w:style>
  <w:style w:type="character" w:customStyle="1" w:styleId="Footer2ndpageChar">
    <w:name w:val="Footer 2nd page Char"/>
    <w:link w:val="Footer2ndpage"/>
    <w:rsid w:val="00E97416"/>
    <w:rPr>
      <w:rFonts w:ascii="Garamond" w:hAnsi="Garamond"/>
      <w:sz w:val="18"/>
      <w:lang w:val="en-GB"/>
    </w:rPr>
  </w:style>
  <w:style w:type="paragraph" w:customStyle="1" w:styleId="Equation">
    <w:name w:val="Equation"/>
    <w:link w:val="EquationChar"/>
    <w:qFormat/>
    <w:rsid w:val="00E97416"/>
    <w:pPr>
      <w:tabs>
        <w:tab w:val="right" w:pos="8959"/>
      </w:tabs>
      <w:suppressAutoHyphens/>
      <w:spacing w:after="240"/>
      <w:ind w:left="567"/>
    </w:pPr>
    <w:rPr>
      <w:rFonts w:ascii="Cambria Math" w:hAnsi="Cambria Math"/>
      <w:sz w:val="24"/>
      <w:szCs w:val="36"/>
      <w:lang w:val="en-GB" w:eastAsia="en-US"/>
    </w:rPr>
  </w:style>
  <w:style w:type="character" w:customStyle="1" w:styleId="EquationChar">
    <w:name w:val="Equation Char"/>
    <w:link w:val="Equation"/>
    <w:rsid w:val="00E97416"/>
    <w:rPr>
      <w:rFonts w:ascii="Cambria Math" w:hAnsi="Cambria Math"/>
      <w:szCs w:val="36"/>
      <w:lang w:val="en-GB"/>
    </w:rPr>
  </w:style>
  <w:style w:type="character" w:customStyle="1" w:styleId="MediumGrid11">
    <w:name w:val="Medium Grid 11"/>
    <w:uiPriority w:val="99"/>
    <w:semiHidden/>
    <w:rsid w:val="00E97416"/>
    <w:rPr>
      <w:color w:val="808080"/>
    </w:rPr>
  </w:style>
  <w:style w:type="paragraph" w:styleId="BalloonText">
    <w:name w:val="Balloon Text"/>
    <w:basedOn w:val="Normal"/>
    <w:link w:val="BalloonTextChar"/>
    <w:uiPriority w:val="99"/>
    <w:semiHidden/>
    <w:rsid w:val="00E97416"/>
    <w:pPr>
      <w:suppressAutoHyphens/>
      <w:jc w:val="both"/>
    </w:pPr>
    <w:rPr>
      <w:rFonts w:ascii="Tahoma" w:hAnsi="Tahoma" w:cs="Tahoma"/>
      <w:sz w:val="16"/>
      <w:szCs w:val="16"/>
      <w:lang w:val="fi-FI"/>
    </w:rPr>
  </w:style>
  <w:style w:type="character" w:customStyle="1" w:styleId="BalloonTextChar">
    <w:name w:val="Balloon Text Char"/>
    <w:link w:val="BalloonText"/>
    <w:uiPriority w:val="99"/>
    <w:semiHidden/>
    <w:rsid w:val="00E97416"/>
    <w:rPr>
      <w:rFonts w:ascii="Tahoma" w:hAnsi="Tahoma" w:cs="Tahoma"/>
      <w:sz w:val="16"/>
      <w:szCs w:val="16"/>
      <w:lang w:val="fi-FI"/>
    </w:rPr>
  </w:style>
  <w:style w:type="character" w:customStyle="1" w:styleId="Hyperlink1">
    <w:name w:val="Hyperlink1"/>
    <w:rsid w:val="00E97416"/>
    <w:rPr>
      <w:color w:val="00559F"/>
      <w:u w:val="none"/>
    </w:rPr>
  </w:style>
  <w:style w:type="paragraph" w:customStyle="1" w:styleId="Table-source">
    <w:name w:val="Table-source"/>
    <w:next w:val="Normal"/>
    <w:link w:val="Table-sourceChar"/>
    <w:qFormat/>
    <w:rsid w:val="00E97416"/>
    <w:pPr>
      <w:spacing w:before="120" w:after="240"/>
    </w:pPr>
    <w:rPr>
      <w:rFonts w:ascii="Arial" w:hAnsi="Arial"/>
      <w:sz w:val="18"/>
      <w:szCs w:val="22"/>
      <w:lang w:val="fi-FI" w:eastAsia="en-US"/>
    </w:rPr>
  </w:style>
  <w:style w:type="character" w:customStyle="1" w:styleId="Table-sourceChar">
    <w:name w:val="Table-source Char"/>
    <w:link w:val="Table-source"/>
    <w:rsid w:val="00E97416"/>
    <w:rPr>
      <w:rFonts w:ascii="Arial" w:hAnsi="Arial"/>
      <w:sz w:val="18"/>
      <w:lang w:val="fi-FI"/>
    </w:rPr>
  </w:style>
  <w:style w:type="character" w:customStyle="1" w:styleId="Normalcharacter">
    <w:name w:val="Normal character"/>
    <w:qFormat/>
    <w:rsid w:val="00E97416"/>
    <w:rPr>
      <w:rFonts w:ascii="Garamond" w:hAnsi="Garamond"/>
      <w:b w:val="0"/>
      <w:i w:val="0"/>
      <w:sz w:val="24"/>
    </w:rPr>
  </w:style>
  <w:style w:type="table" w:customStyle="1" w:styleId="Boxstyle">
    <w:name w:val="Box style"/>
    <w:basedOn w:val="TableNormal"/>
    <w:uiPriority w:val="99"/>
    <w:rsid w:val="00E97416"/>
    <w:rPr>
      <w:rFonts w:ascii="Garamond" w:hAnsi="Garamond"/>
      <w:sz w:val="18"/>
      <w:lang w:val="fi-FI"/>
    </w:rPr>
    <w:tblPr>
      <w:tblInd w:w="284" w:type="dxa"/>
      <w:tblCellMar>
        <w:top w:w="284" w:type="dxa"/>
        <w:left w:w="284" w:type="dxa"/>
        <w:bottom w:w="284" w:type="dxa"/>
        <w:right w:w="284" w:type="dxa"/>
      </w:tblCellMar>
    </w:tblPr>
    <w:tcPr>
      <w:shd w:val="clear" w:color="auto" w:fill="F2F2F2"/>
    </w:tcPr>
  </w:style>
  <w:style w:type="paragraph" w:customStyle="1" w:styleId="Box-title">
    <w:name w:val="Box-title"/>
    <w:basedOn w:val="Normal"/>
    <w:next w:val="Box-text"/>
    <w:link w:val="Box-titleChar"/>
    <w:qFormat/>
    <w:rsid w:val="00E97416"/>
    <w:pPr>
      <w:suppressAutoHyphens/>
      <w:spacing w:after="120"/>
    </w:pPr>
    <w:rPr>
      <w:rFonts w:ascii="Garamond" w:hAnsi="Garamond"/>
      <w:b/>
      <w:sz w:val="20"/>
      <w:szCs w:val="20"/>
      <w:lang w:val="fi-FI"/>
    </w:rPr>
  </w:style>
  <w:style w:type="paragraph" w:customStyle="1" w:styleId="Box-text">
    <w:name w:val="Box-text"/>
    <w:basedOn w:val="Normal"/>
    <w:link w:val="Box-textChar"/>
    <w:qFormat/>
    <w:rsid w:val="00E97416"/>
    <w:pPr>
      <w:suppressAutoHyphens/>
      <w:spacing w:after="120"/>
      <w:jc w:val="both"/>
    </w:pPr>
    <w:rPr>
      <w:rFonts w:ascii="Garamond" w:hAnsi="Garamond"/>
      <w:sz w:val="20"/>
      <w:szCs w:val="18"/>
      <w:lang w:val="fi-FI"/>
    </w:rPr>
  </w:style>
  <w:style w:type="character" w:customStyle="1" w:styleId="Box-textChar">
    <w:name w:val="Box-text Char"/>
    <w:link w:val="Box-text"/>
    <w:rsid w:val="00E97416"/>
    <w:rPr>
      <w:rFonts w:ascii="Garamond" w:hAnsi="Garamond"/>
      <w:sz w:val="20"/>
      <w:szCs w:val="18"/>
      <w:lang w:val="fi-FI"/>
    </w:rPr>
  </w:style>
  <w:style w:type="character" w:customStyle="1" w:styleId="Box-titleChar">
    <w:name w:val="Box-title Char"/>
    <w:link w:val="Box-title"/>
    <w:rsid w:val="00E97416"/>
    <w:rPr>
      <w:rFonts w:ascii="Garamond" w:hAnsi="Garamond"/>
      <w:b/>
      <w:sz w:val="20"/>
      <w:szCs w:val="20"/>
      <w:lang w:val="fi-FI"/>
    </w:rPr>
  </w:style>
  <w:style w:type="table" w:customStyle="1" w:styleId="Defaultstyle">
    <w:name w:val="Default style"/>
    <w:basedOn w:val="TableNormal"/>
    <w:uiPriority w:val="99"/>
    <w:rsid w:val="00E97416"/>
    <w:rPr>
      <w:rFonts w:ascii="Arial" w:hAnsi="Arial"/>
      <w:sz w:val="18"/>
      <w:lang w:val="fi-FI"/>
    </w:rPr>
    <w:tblPr>
      <w:tblInd w:w="113" w:type="dxa"/>
      <w:tblBorders>
        <w:top w:val="single" w:sz="4" w:space="0" w:color="A6A6A6"/>
        <w:bottom w:val="single" w:sz="4" w:space="0" w:color="A6A6A6"/>
      </w:tblBorders>
      <w:tblCellMar>
        <w:top w:w="40" w:type="dxa"/>
        <w:left w:w="85" w:type="dxa"/>
        <w:bottom w:w="40" w:type="dxa"/>
        <w:right w:w="85" w:type="dxa"/>
      </w:tblCellMar>
    </w:tblPr>
  </w:style>
  <w:style w:type="character" w:customStyle="1" w:styleId="tablas">
    <w:name w:val="tablas"/>
    <w:rsid w:val="00E97416"/>
  </w:style>
  <w:style w:type="character" w:styleId="PageNumber">
    <w:name w:val="page number"/>
    <w:basedOn w:val="DefaultParagraphFont"/>
    <w:uiPriority w:val="99"/>
    <w:semiHidden/>
    <w:unhideWhenUsed/>
    <w:rsid w:val="00E97416"/>
  </w:style>
  <w:style w:type="paragraph" w:styleId="CommentText">
    <w:name w:val="annotation text"/>
    <w:basedOn w:val="Normal"/>
    <w:link w:val="CommentTextChar"/>
    <w:uiPriority w:val="99"/>
    <w:semiHidden/>
    <w:unhideWhenUsed/>
    <w:rsid w:val="00E97416"/>
    <w:pPr>
      <w:suppressAutoHyphens/>
      <w:spacing w:after="240"/>
      <w:jc w:val="both"/>
    </w:pPr>
    <w:rPr>
      <w:rFonts w:ascii="Garamond" w:eastAsia="Garamond" w:hAnsi="Garamond"/>
      <w:szCs w:val="24"/>
      <w:lang w:val="fi-FI"/>
    </w:rPr>
  </w:style>
  <w:style w:type="character" w:customStyle="1" w:styleId="CommentTextChar">
    <w:name w:val="Comment Text Char"/>
    <w:link w:val="CommentText"/>
    <w:uiPriority w:val="99"/>
    <w:semiHidden/>
    <w:rsid w:val="00E97416"/>
    <w:rPr>
      <w:rFonts w:ascii="Garamond" w:eastAsia="Garamond" w:hAnsi="Garamond" w:cs="Times New Roman"/>
      <w:szCs w:val="24"/>
      <w:lang w:val="fi-FI"/>
    </w:rPr>
  </w:style>
  <w:style w:type="character" w:customStyle="1" w:styleId="CommentSubjectChar">
    <w:name w:val="Comment Subject Char"/>
    <w:link w:val="CommentSubject"/>
    <w:uiPriority w:val="99"/>
    <w:semiHidden/>
    <w:rsid w:val="00E97416"/>
    <w:rPr>
      <w:rFonts w:ascii="Garamond" w:eastAsia="Garamond" w:hAnsi="Garamond" w:cs="Times New Roman"/>
      <w:b/>
      <w:bCs/>
      <w:szCs w:val="24"/>
      <w:lang w:val="fi-FI"/>
    </w:rPr>
  </w:style>
  <w:style w:type="paragraph" w:styleId="CommentSubject">
    <w:name w:val="annotation subject"/>
    <w:basedOn w:val="CommentText"/>
    <w:next w:val="CommentText"/>
    <w:link w:val="CommentSubjectChar"/>
    <w:uiPriority w:val="99"/>
    <w:semiHidden/>
    <w:unhideWhenUsed/>
    <w:rsid w:val="00E97416"/>
    <w:rPr>
      <w:b/>
      <w:bCs/>
    </w:rPr>
  </w:style>
  <w:style w:type="character" w:customStyle="1" w:styleId="CommentSubjectChar1">
    <w:name w:val="Comment Subject Char1"/>
    <w:uiPriority w:val="99"/>
    <w:semiHidden/>
    <w:rsid w:val="00E97416"/>
    <w:rPr>
      <w:rFonts w:ascii="Garamond" w:eastAsia="Garamond" w:hAnsi="Garamond" w:cs="Times New Roman"/>
      <w:b/>
      <w:bCs/>
      <w:szCs w:val="24"/>
      <w:lang w:val="fi-FI"/>
    </w:rPr>
  </w:style>
  <w:style w:type="character" w:customStyle="1" w:styleId="UnresolvedMention">
    <w:name w:val="Unresolved Mention"/>
    <w:uiPriority w:val="99"/>
    <w:semiHidden/>
    <w:unhideWhenUsed/>
    <w:rsid w:val="00E97416"/>
    <w:rPr>
      <w:color w:val="808080"/>
      <w:shd w:val="clear" w:color="auto" w:fill="E6E6E6"/>
    </w:rPr>
  </w:style>
  <w:style w:type="character" w:customStyle="1" w:styleId="Heading1Char1">
    <w:name w:val="Heading 1 Char1"/>
    <w:link w:val="Heading1"/>
    <w:uiPriority w:val="9"/>
    <w:rsid w:val="00E97416"/>
    <w:rPr>
      <w:rFonts w:ascii="Calibri Light" w:eastAsia="Times New Roman" w:hAnsi="Calibri Light" w:cs="Times New Roman"/>
      <w:color w:val="2E74B5"/>
      <w:sz w:val="32"/>
      <w:szCs w:val="32"/>
    </w:rPr>
  </w:style>
  <w:style w:type="character" w:customStyle="1" w:styleId="Heading9Char1">
    <w:name w:val="Heading 9 Char1"/>
    <w:uiPriority w:val="9"/>
    <w:semiHidden/>
    <w:rsid w:val="00E97416"/>
    <w:rPr>
      <w:rFonts w:ascii="Calibri Light" w:eastAsia="Times New Roman" w:hAnsi="Calibri Light" w:cs="Times New Roman"/>
      <w:i/>
      <w:iCs/>
      <w:color w:val="272727"/>
      <w:sz w:val="21"/>
      <w:szCs w:val="21"/>
    </w:rPr>
  </w:style>
  <w:style w:type="paragraph" w:customStyle="1" w:styleId="ColorfulGrid-Accent11">
    <w:name w:val="Colorful Grid - Accent 11"/>
    <w:basedOn w:val="Normal"/>
    <w:next w:val="Normal"/>
    <w:link w:val="ColorfulGrid-Accent1Char"/>
    <w:qFormat/>
    <w:rsid w:val="00E97416"/>
    <w:pPr>
      <w:spacing w:before="200" w:after="160"/>
      <w:ind w:left="864" w:right="864"/>
      <w:jc w:val="center"/>
    </w:pPr>
    <w:rPr>
      <w:iCs/>
      <w:color w:val="000000"/>
    </w:rPr>
  </w:style>
  <w:style w:type="character" w:customStyle="1" w:styleId="QuoteChar1">
    <w:name w:val="Quote Char1"/>
    <w:uiPriority w:val="29"/>
    <w:rsid w:val="00E97416"/>
    <w:rPr>
      <w:i/>
      <w:iCs/>
      <w:color w:val="404040"/>
    </w:rPr>
  </w:style>
  <w:style w:type="character" w:styleId="FootnoteReference">
    <w:name w:val="footnote reference"/>
    <w:uiPriority w:val="99"/>
    <w:semiHidden/>
    <w:unhideWhenUsed/>
    <w:rsid w:val="00E97416"/>
    <w:rPr>
      <w:vertAlign w:val="superscript"/>
    </w:rPr>
  </w:style>
  <w:style w:type="character" w:styleId="Hyperlink">
    <w:name w:val="Hyperlink"/>
    <w:uiPriority w:val="99"/>
    <w:semiHidden/>
    <w:unhideWhenUsed/>
    <w:rsid w:val="00E9741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4262</Words>
  <Characters>23447</Characters>
  <Application>Microsoft Office Word</Application>
  <DocSecurity>0</DocSecurity>
  <Lines>195</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dc:creator>
  <cp:keywords/>
  <dc:description/>
  <cp:lastModifiedBy>User0</cp:lastModifiedBy>
  <cp:revision>6</cp:revision>
  <dcterms:created xsi:type="dcterms:W3CDTF">2018-12-06T21:06:00Z</dcterms:created>
  <dcterms:modified xsi:type="dcterms:W3CDTF">2019-06-12T18:02:00Z</dcterms:modified>
</cp:coreProperties>
</file>