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A11A2B"/>
          <w:sz w:val="22"/>
          <w:szCs w:val="22"/>
        </w:rPr>
        <w:t xml:space="preserve">RED BERRY</w:t>
      </w:r>
    </w:p>
    <w:p>
      <w:pPr>
        <w:pStyle w:val="Heading1"/>
        <w:spacing w:after="120"/>
      </w:pPr>
      <w:r>
        <w:rPr>
          <w:rFonts w:ascii="Calibri" w:cs="Calibri" w:eastAsia="Calibri" w:hAnsi="Calibri"/>
          <w:b/>
          <w:bCs/>
          <w:color w:val="222222"/>
          <w:sz w:val="34"/>
          <w:szCs w:val="34"/>
        </w:rPr>
        <w:t xml:space="preserve">Meta Titles &amp; Descriptions</w:t>
      </w:r>
    </w:p>
    <w:p>
      <w:pPr>
        <w:pBdr>
          <w:bottom w:val="single" w:color="A11A2B" w:sz="6" w:space="8"/>
        </w:pBdr>
        <w:spacing w:after="300"/>
      </w:pPr>
      <w:r>
        <w:rPr>
          <w:rFonts w:ascii="Calibri" w:cs="Calibri" w:eastAsia="Calibri" w:hAnsi="Calibri"/>
          <w:color w:val="5A5A5A"/>
          <w:sz w:val="18"/>
          <w:szCs w:val="18"/>
        </w:rPr>
        <w:t xml:space="preserve">redberry.ae  ·  17 pages  ·  Prepared 3 September 2026</w:t>
      </w:r>
    </w:p>
    <w:p>
      <w:pPr>
        <w:spacing w:after="200"/>
      </w:pPr>
      <w:r>
        <w:rPr>
          <w:rFonts w:ascii="Calibri" w:cs="Calibri" w:eastAsia="Calibri" w:hAnsi="Calibri"/>
          <w:color w:val="333333"/>
          <w:sz w:val="19"/>
          <w:szCs w:val="19"/>
        </w:rPr>
        <w:t xml:space="preserve">Every page on redberry.ae currently serves the same title and description as the homepage. Search engines treat that as one page repeated seventeen times, so none of the individual pages can rank on their own terms. The tags below give each page its own claim, written in the structural, declarative voice the site already uses.</w:t>
      </w:r>
    </w:p>
    <w:tbl>
      <w:tblPr>
        <w:tblW w:type="dxa" w:w="13958"/>
        <w:tblBorders>
          <w:top w:val="single" w:color="D9D9D9" w:sz="2"/>
          <w:left w:val="single" w:color="D9D9D9" w:sz="2"/>
          <w:bottom w:val="single" w:color="D9D9D9" w:sz="2"/>
          <w:right w:val="single" w:color="D9D9D9" w:sz="2"/>
          <w:insideH w:val="single" w:color="D9D9D9" w:sz="2"/>
          <w:insideV w:val="single" w:color="D9D9D9" w:sz="2"/>
        </w:tblBorders>
      </w:tblPr>
      <w:tblGrid>
        <w:gridCol w:w="2600"/>
        <w:gridCol w:w="4100"/>
        <w:gridCol w:w="7258"/>
      </w:tblGrid>
      <w:tr>
        <w:trPr>
          <w:cantSplit/>
          <w:tblHeader/>
        </w:trPr>
        <w:tc>
          <w:tcPr>
            <w:tcW w:type="dxa" w:w="2600"/>
            <w:shd w:fill="A11A2B" w:color="auto" w:val="clear"/>
            <w:tcMar>
              <w:top w:type="dxa" w:w="90"/>
              <w:left w:type="dxa" w:w="130"/>
              <w:bottom w:type="dxa" w:w="90"/>
              <w:right w:type="dxa" w:w="130"/>
            </w:tcMar>
          </w:tcPr>
          <w:p>
            <w:pPr>
              <w:spacing w:after="0"/>
            </w:pPr>
            <w:r>
              <w:rPr>
                <w:rFonts w:ascii="Calibri" w:cs="Calibri" w:eastAsia="Calibri" w:hAnsi="Calibri"/>
                <w:b/>
                <w:bCs/>
                <w:i w:val="false"/>
                <w:iCs w:val="false"/>
                <w:color w:val="FFFFFF"/>
                <w:sz w:val="19"/>
                <w:szCs w:val="19"/>
              </w:rPr>
              <w:t xml:space="preserve">Page</w:t>
            </w:r>
          </w:p>
        </w:tc>
        <w:tc>
          <w:tcPr>
            <w:tcW w:type="dxa" w:w="4100"/>
            <w:shd w:fill="A11A2B" w:color="auto" w:val="clear"/>
            <w:tcMar>
              <w:top w:type="dxa" w:w="90"/>
              <w:left w:type="dxa" w:w="130"/>
              <w:bottom w:type="dxa" w:w="90"/>
              <w:right w:type="dxa" w:w="130"/>
            </w:tcMar>
          </w:tcPr>
          <w:p>
            <w:pPr>
              <w:spacing w:after="0"/>
            </w:pPr>
            <w:r>
              <w:rPr>
                <w:rFonts w:ascii="Calibri" w:cs="Calibri" w:eastAsia="Calibri" w:hAnsi="Calibri"/>
                <w:b/>
                <w:bCs/>
                <w:i w:val="false"/>
                <w:iCs w:val="false"/>
                <w:color w:val="FFFFFF"/>
                <w:sz w:val="19"/>
                <w:szCs w:val="19"/>
              </w:rPr>
              <w:t xml:space="preserve">Meta title</w:t>
            </w:r>
          </w:p>
        </w:tc>
        <w:tc>
          <w:tcPr>
            <w:tcW w:type="dxa" w:w="7258"/>
            <w:shd w:fill="A11A2B" w:color="auto" w:val="clear"/>
            <w:tcMar>
              <w:top w:type="dxa" w:w="90"/>
              <w:left w:type="dxa" w:w="130"/>
              <w:bottom w:type="dxa" w:w="90"/>
              <w:right w:type="dxa" w:w="130"/>
            </w:tcMar>
          </w:tcPr>
          <w:p>
            <w:pPr>
              <w:spacing w:after="0"/>
            </w:pPr>
            <w:r>
              <w:rPr>
                <w:rFonts w:ascii="Calibri" w:cs="Calibri" w:eastAsia="Calibri" w:hAnsi="Calibri"/>
                <w:b/>
                <w:bCs/>
                <w:i w:val="false"/>
                <w:iCs w:val="false"/>
                <w:color w:val="FFFFFF"/>
                <w:sz w:val="19"/>
                <w:szCs w:val="19"/>
              </w:rPr>
              <w:t xml:space="preserve">Meta description</w:t>
            </w:r>
          </w:p>
        </w:tc>
      </w:tr>
      <w:tr>
        <w:trPr>
          <w:cantSplit/>
        </w:trPr>
        <w:tc>
          <w:tcPr>
            <w:tcW w:type="dxa" w:w="13958"/>
            <w:gridSpan w:val="3"/>
            <w:shd w:fill="F2E4E6" w:color="auto" w:val="clear"/>
            <w:tcMar>
              <w:top w:type="dxa" w:w="90"/>
              <w:left w:type="dxa" w:w="130"/>
              <w:bottom w:type="dxa" w:w="90"/>
              <w:right w:type="dxa" w:w="130"/>
            </w:tcMar>
          </w:tcPr>
          <w:p>
            <w:pPr>
              <w:spacing w:after="0"/>
            </w:pPr>
            <w:r>
              <w:rPr>
                <w:rFonts w:ascii="Calibri" w:cs="Calibri" w:eastAsia="Calibri" w:hAnsi="Calibri"/>
                <w:b/>
                <w:bCs/>
                <w:i w:val="false"/>
                <w:iCs w:val="false"/>
                <w:color w:val="A11A2B"/>
                <w:sz w:val="17"/>
                <w:szCs w:val="17"/>
              </w:rPr>
              <w:t xml:space="preserve">HOME</w:t>
            </w:r>
          </w:p>
        </w:tc>
      </w:tr>
      <w:tr>
        <w:trPr>
          <w:cantSplit/>
        </w:trPr>
        <w:tc>
          <w:tcPr>
            <w:tcW w:type="dxa" w:w="2600"/>
            <w:tcMar>
              <w:top w:type="dxa" w:w="90"/>
              <w:left w:type="dxa" w:w="130"/>
              <w:bottom w:type="dxa" w:w="90"/>
              <w:right w:type="dxa" w:w="130"/>
            </w:tcMar>
          </w:tcPr>
          <w:p>
            <w:pPr>
              <w:spacing w:after="0"/>
            </w:pPr>
            <w:r>
              <w:rPr>
                <w:rFonts w:ascii="Calibri" w:cs="Calibri" w:eastAsia="Calibri" w:hAnsi="Calibri"/>
                <w:b/>
                <w:bCs/>
                <w:i w:val="false"/>
                <w:iCs w:val="false"/>
                <w:color w:val="222222"/>
                <w:sz w:val="18"/>
                <w:szCs w:val="18"/>
              </w:rPr>
              <w:t xml:space="preserve">/</w:t>
            </w:r>
          </w:p>
        </w:tc>
        <w:tc>
          <w:tcPr>
            <w:tcW w:type="dxa" w:w="4100"/>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Red Berry | Ambition Infrastructure for the UAE &amp; GCC</w:t>
            </w:r>
          </w:p>
          <w:p>
            <w:pPr>
              <w:spacing w:before="50"/>
            </w:pPr>
            <w:r>
              <w:rPr>
                <w:rFonts w:ascii="Calibri" w:cs="Calibri" w:eastAsia="Calibri" w:hAnsi="Calibri"/>
                <w:i/>
                <w:iCs/>
                <w:color w:val="5A5A5A"/>
                <w:sz w:val="15"/>
                <w:szCs w:val="15"/>
              </w:rPr>
              <w:t xml:space="preserve">53 characters</w:t>
            </w:r>
          </w:p>
        </w:tc>
        <w:tc>
          <w:tcPr>
            <w:tcW w:type="dxa" w:w="7258"/>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Red Berry builds the corporate, financial, sovereign and legacy infrastructure ambitious founders, investors and families need to build in the UAE.</w:t>
            </w:r>
          </w:p>
          <w:p>
            <w:pPr>
              <w:spacing w:before="50"/>
            </w:pPr>
            <w:r>
              <w:rPr>
                <w:rFonts w:ascii="Calibri" w:cs="Calibri" w:eastAsia="Calibri" w:hAnsi="Calibri"/>
                <w:i/>
                <w:iCs/>
                <w:color w:val="5A5A5A"/>
                <w:sz w:val="15"/>
                <w:szCs w:val="15"/>
              </w:rPr>
              <w:t xml:space="preserve">147 characters</w:t>
            </w:r>
          </w:p>
        </w:tc>
      </w:tr>
      <w:tr>
        <w:trPr>
          <w:cantSplit/>
        </w:trPr>
        <w:tc>
          <w:tcPr>
            <w:tcW w:type="dxa" w:w="13958"/>
            <w:gridSpan w:val="3"/>
            <w:shd w:fill="F2E4E6" w:color="auto" w:val="clear"/>
            <w:tcMar>
              <w:top w:type="dxa" w:w="90"/>
              <w:left w:type="dxa" w:w="130"/>
              <w:bottom w:type="dxa" w:w="90"/>
              <w:right w:type="dxa" w:w="130"/>
            </w:tcMar>
          </w:tcPr>
          <w:p>
            <w:pPr>
              <w:spacing w:after="0"/>
            </w:pPr>
            <w:r>
              <w:rPr>
                <w:rFonts w:ascii="Calibri" w:cs="Calibri" w:eastAsia="Calibri" w:hAnsi="Calibri"/>
                <w:b/>
                <w:bCs/>
                <w:i w:val="false"/>
                <w:iCs w:val="false"/>
                <w:color w:val="A11A2B"/>
                <w:sz w:val="17"/>
                <w:szCs w:val="17"/>
              </w:rPr>
              <w:t xml:space="preserve">OUTCOME PAGES</w:t>
            </w:r>
          </w:p>
        </w:tc>
      </w:tr>
      <w:tr>
        <w:trPr>
          <w:cantSplit/>
        </w:trPr>
        <w:tc>
          <w:tcPr>
            <w:tcW w:type="dxa" w:w="2600"/>
            <w:shd w:fill="FAFAFA" w:color="auto" w:val="clear"/>
            <w:tcMar>
              <w:top w:type="dxa" w:w="90"/>
              <w:left w:type="dxa" w:w="130"/>
              <w:bottom w:type="dxa" w:w="90"/>
              <w:right w:type="dxa" w:w="130"/>
            </w:tcMar>
          </w:tcPr>
          <w:p>
            <w:pPr>
              <w:spacing w:after="0"/>
            </w:pPr>
            <w:r>
              <w:rPr>
                <w:rFonts w:ascii="Calibri" w:cs="Calibri" w:eastAsia="Calibri" w:hAnsi="Calibri"/>
                <w:b/>
                <w:bCs/>
                <w:i w:val="false"/>
                <w:iCs w:val="false"/>
                <w:color w:val="222222"/>
                <w:sz w:val="18"/>
                <w:szCs w:val="18"/>
              </w:rPr>
              <w:t xml:space="preserve">/launch-a-business</w:t>
            </w:r>
          </w:p>
        </w:tc>
        <w:tc>
          <w:tcPr>
            <w:tcW w:type="dxa" w:w="4100"/>
            <w:shd w:fill="FAFAFA" w:color="auto" w:val="clear"/>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Launch a Business in the UAE | Red Berry</w:t>
            </w:r>
          </w:p>
          <w:p>
            <w:pPr>
              <w:spacing w:before="50"/>
            </w:pPr>
            <w:r>
              <w:rPr>
                <w:rFonts w:ascii="Calibri" w:cs="Calibri" w:eastAsia="Calibri" w:hAnsi="Calibri"/>
                <w:i/>
                <w:iCs/>
                <w:color w:val="5A5A5A"/>
                <w:sz w:val="15"/>
                <w:szCs w:val="15"/>
              </w:rPr>
              <w:t xml:space="preserve">40 characters</w:t>
            </w:r>
          </w:p>
        </w:tc>
        <w:tc>
          <w:tcPr>
            <w:tcW w:type="dxa" w:w="7258"/>
            <w:shd w:fill="FAFAFA" w:color="auto" w:val="clear"/>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Set up in the UAE on foundations built to hold. Licence, structure, banking and residency handled as one build, not a checklist. Start with clarity.</w:t>
            </w:r>
          </w:p>
          <w:p>
            <w:pPr>
              <w:spacing w:before="50"/>
            </w:pPr>
            <w:r>
              <w:rPr>
                <w:rFonts w:ascii="Calibri" w:cs="Calibri" w:eastAsia="Calibri" w:hAnsi="Calibri"/>
                <w:i/>
                <w:iCs/>
                <w:color w:val="5A5A5A"/>
                <w:sz w:val="15"/>
                <w:szCs w:val="15"/>
              </w:rPr>
              <w:t xml:space="preserve">148 characters</w:t>
            </w:r>
          </w:p>
        </w:tc>
      </w:tr>
      <w:tr>
        <w:trPr>
          <w:cantSplit/>
        </w:trPr>
        <w:tc>
          <w:tcPr>
            <w:tcW w:type="dxa" w:w="2600"/>
            <w:tcMar>
              <w:top w:type="dxa" w:w="90"/>
              <w:left w:type="dxa" w:w="130"/>
              <w:bottom w:type="dxa" w:w="90"/>
              <w:right w:type="dxa" w:w="130"/>
            </w:tcMar>
          </w:tcPr>
          <w:p>
            <w:pPr>
              <w:spacing w:after="0"/>
            </w:pPr>
            <w:r>
              <w:rPr>
                <w:rFonts w:ascii="Calibri" w:cs="Calibri" w:eastAsia="Calibri" w:hAnsi="Calibri"/>
                <w:b/>
                <w:bCs/>
                <w:i w:val="false"/>
                <w:iCs w:val="false"/>
                <w:color w:val="222222"/>
                <w:sz w:val="18"/>
                <w:szCs w:val="18"/>
              </w:rPr>
              <w:t xml:space="preserve">/expand-into-gcc</w:t>
            </w:r>
          </w:p>
        </w:tc>
        <w:tc>
          <w:tcPr>
            <w:tcW w:type="dxa" w:w="4100"/>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Expand Into the GCC | Red Berry</w:t>
            </w:r>
          </w:p>
          <w:p>
            <w:pPr>
              <w:spacing w:before="50"/>
            </w:pPr>
            <w:r>
              <w:rPr>
                <w:rFonts w:ascii="Calibri" w:cs="Calibri" w:eastAsia="Calibri" w:hAnsi="Calibri"/>
                <w:i/>
                <w:iCs/>
                <w:color w:val="5A5A5A"/>
                <w:sz w:val="15"/>
                <w:szCs w:val="15"/>
              </w:rPr>
              <w:t xml:space="preserve">31 characters</w:t>
            </w:r>
          </w:p>
        </w:tc>
        <w:tc>
          <w:tcPr>
            <w:tcW w:type="dxa" w:w="7258"/>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Take a proven business into Saudi, Qatar and the wider GCC. Entity structure, licensing and local requirements mapped before you commit capital.</w:t>
            </w:r>
          </w:p>
          <w:p>
            <w:pPr>
              <w:spacing w:before="50"/>
            </w:pPr>
            <w:r>
              <w:rPr>
                <w:rFonts w:ascii="Calibri" w:cs="Calibri" w:eastAsia="Calibri" w:hAnsi="Calibri"/>
                <w:i/>
                <w:iCs/>
                <w:color w:val="5A5A5A"/>
                <w:sz w:val="15"/>
                <w:szCs w:val="15"/>
              </w:rPr>
              <w:t xml:space="preserve">144 characters</w:t>
            </w:r>
          </w:p>
        </w:tc>
      </w:tr>
      <w:tr>
        <w:trPr>
          <w:cantSplit/>
        </w:trPr>
        <w:tc>
          <w:tcPr>
            <w:tcW w:type="dxa" w:w="2600"/>
            <w:shd w:fill="FAFAFA" w:color="auto" w:val="clear"/>
            <w:tcMar>
              <w:top w:type="dxa" w:w="90"/>
              <w:left w:type="dxa" w:w="130"/>
              <w:bottom w:type="dxa" w:w="90"/>
              <w:right w:type="dxa" w:w="130"/>
            </w:tcMar>
          </w:tcPr>
          <w:p>
            <w:pPr>
              <w:spacing w:after="0"/>
            </w:pPr>
            <w:r>
              <w:rPr>
                <w:rFonts w:ascii="Calibri" w:cs="Calibri" w:eastAsia="Calibri" w:hAnsi="Calibri"/>
                <w:b/>
                <w:bCs/>
                <w:i w:val="false"/>
                <w:iCs w:val="false"/>
                <w:color w:val="222222"/>
                <w:sz w:val="18"/>
                <w:szCs w:val="18"/>
              </w:rPr>
              <w:t xml:space="preserve">/grow-and-protect-wealth</w:t>
            </w:r>
          </w:p>
        </w:tc>
        <w:tc>
          <w:tcPr>
            <w:tcW w:type="dxa" w:w="4100"/>
            <w:shd w:fill="FAFAFA" w:color="auto" w:val="clear"/>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Grow &amp; Protect Wealth in the UAE | Red Berry</w:t>
            </w:r>
          </w:p>
          <w:p>
            <w:pPr>
              <w:spacing w:before="50"/>
            </w:pPr>
            <w:r>
              <w:rPr>
                <w:rFonts w:ascii="Calibri" w:cs="Calibri" w:eastAsia="Calibri" w:hAnsi="Calibri"/>
                <w:i/>
                <w:iCs/>
                <w:color w:val="5A5A5A"/>
                <w:sz w:val="15"/>
                <w:szCs w:val="15"/>
              </w:rPr>
              <w:t xml:space="preserve">44 characters</w:t>
            </w:r>
          </w:p>
        </w:tc>
        <w:tc>
          <w:tcPr>
            <w:tcW w:type="dxa" w:w="7258"/>
            <w:shd w:fill="FAFAFA" w:color="auto" w:val="clear"/>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Wealth needs architecture as much as it needs returns. Structures that let capital grow in the UAE while staying protected across borders and time.</w:t>
            </w:r>
          </w:p>
          <w:p>
            <w:pPr>
              <w:spacing w:before="50"/>
            </w:pPr>
            <w:r>
              <w:rPr>
                <w:rFonts w:ascii="Calibri" w:cs="Calibri" w:eastAsia="Calibri" w:hAnsi="Calibri"/>
                <w:i/>
                <w:iCs/>
                <w:color w:val="5A5A5A"/>
                <w:sz w:val="15"/>
                <w:szCs w:val="15"/>
              </w:rPr>
              <w:t xml:space="preserve">147 characters</w:t>
            </w:r>
          </w:p>
        </w:tc>
      </w:tr>
      <w:tr>
        <w:trPr>
          <w:cantSplit/>
        </w:trPr>
        <w:tc>
          <w:tcPr>
            <w:tcW w:type="dxa" w:w="2600"/>
            <w:tcMar>
              <w:top w:type="dxa" w:w="90"/>
              <w:left w:type="dxa" w:w="130"/>
              <w:bottom w:type="dxa" w:w="90"/>
              <w:right w:type="dxa" w:w="130"/>
            </w:tcMar>
          </w:tcPr>
          <w:p>
            <w:pPr>
              <w:spacing w:after="0"/>
            </w:pPr>
            <w:r>
              <w:rPr>
                <w:rFonts w:ascii="Calibri" w:cs="Calibri" w:eastAsia="Calibri" w:hAnsi="Calibri"/>
                <w:b/>
                <w:bCs/>
                <w:i w:val="false"/>
                <w:iCs w:val="false"/>
                <w:color w:val="222222"/>
                <w:sz w:val="18"/>
                <w:szCs w:val="18"/>
              </w:rPr>
              <w:t xml:space="preserve">/create-family-security</w:t>
            </w:r>
          </w:p>
        </w:tc>
        <w:tc>
          <w:tcPr>
            <w:tcW w:type="dxa" w:w="4100"/>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Create Family Security | Red Berry</w:t>
            </w:r>
          </w:p>
          <w:p>
            <w:pPr>
              <w:spacing w:before="50"/>
            </w:pPr>
            <w:r>
              <w:rPr>
                <w:rFonts w:ascii="Calibri" w:cs="Calibri" w:eastAsia="Calibri" w:hAnsi="Calibri"/>
                <w:i/>
                <w:iCs/>
                <w:color w:val="5A5A5A"/>
                <w:sz w:val="15"/>
                <w:szCs w:val="15"/>
              </w:rPr>
              <w:t xml:space="preserve">34 characters</w:t>
            </w:r>
          </w:p>
        </w:tc>
        <w:tc>
          <w:tcPr>
            <w:tcW w:type="dxa" w:w="7258"/>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Security for a family is a structure, not a sentiment. Residency, succession and asset protection arranged so the people you build for stay covered.</w:t>
            </w:r>
          </w:p>
          <w:p>
            <w:pPr>
              <w:spacing w:before="50"/>
            </w:pPr>
            <w:r>
              <w:rPr>
                <w:rFonts w:ascii="Calibri" w:cs="Calibri" w:eastAsia="Calibri" w:hAnsi="Calibri"/>
                <w:i/>
                <w:iCs/>
                <w:color w:val="5A5A5A"/>
                <w:sz w:val="15"/>
                <w:szCs w:val="15"/>
              </w:rPr>
              <w:t xml:space="preserve">148 characters</w:t>
            </w:r>
          </w:p>
        </w:tc>
      </w:tr>
      <w:tr>
        <w:trPr>
          <w:cantSplit/>
        </w:trPr>
        <w:tc>
          <w:tcPr>
            <w:tcW w:type="dxa" w:w="2600"/>
            <w:shd w:fill="FAFAFA" w:color="auto" w:val="clear"/>
            <w:tcMar>
              <w:top w:type="dxa" w:w="90"/>
              <w:left w:type="dxa" w:w="130"/>
              <w:bottom w:type="dxa" w:w="90"/>
              <w:right w:type="dxa" w:w="130"/>
            </w:tcMar>
          </w:tcPr>
          <w:p>
            <w:pPr>
              <w:spacing w:after="0"/>
            </w:pPr>
            <w:r>
              <w:rPr>
                <w:rFonts w:ascii="Calibri" w:cs="Calibri" w:eastAsia="Calibri" w:hAnsi="Calibri"/>
                <w:b/>
                <w:bCs/>
                <w:i w:val="false"/>
                <w:iCs w:val="false"/>
                <w:color w:val="222222"/>
                <w:sz w:val="18"/>
                <w:szCs w:val="18"/>
              </w:rPr>
              <w:t xml:space="preserve">/increase-global-freedom</w:t>
            </w:r>
          </w:p>
        </w:tc>
        <w:tc>
          <w:tcPr>
            <w:tcW w:type="dxa" w:w="4100"/>
            <w:shd w:fill="FAFAFA" w:color="auto" w:val="clear"/>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Increase Global Freedom | Red Berry</w:t>
            </w:r>
          </w:p>
          <w:p>
            <w:pPr>
              <w:spacing w:before="50"/>
            </w:pPr>
            <w:r>
              <w:rPr>
                <w:rFonts w:ascii="Calibri" w:cs="Calibri" w:eastAsia="Calibri" w:hAnsi="Calibri"/>
                <w:i/>
                <w:iCs/>
                <w:color w:val="5A5A5A"/>
                <w:sz w:val="15"/>
                <w:szCs w:val="15"/>
              </w:rPr>
              <w:t xml:space="preserve">35 characters</w:t>
            </w:r>
          </w:p>
        </w:tc>
        <w:tc>
          <w:tcPr>
            <w:tcW w:type="dxa" w:w="7258"/>
            <w:shd w:fill="FAFAFA" w:color="auto" w:val="clear"/>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Freedom of movement is engineered. Residency, second citizenship and tax positioning in the UAE, built to widen where you can live, bank and travel.</w:t>
            </w:r>
          </w:p>
          <w:p>
            <w:pPr>
              <w:spacing w:before="50"/>
            </w:pPr>
            <w:r>
              <w:rPr>
                <w:rFonts w:ascii="Calibri" w:cs="Calibri" w:eastAsia="Calibri" w:hAnsi="Calibri"/>
                <w:i/>
                <w:iCs/>
                <w:color w:val="5A5A5A"/>
                <w:sz w:val="15"/>
                <w:szCs w:val="15"/>
              </w:rPr>
              <w:t xml:space="preserve">148 characters</w:t>
            </w:r>
          </w:p>
        </w:tc>
      </w:tr>
      <w:tr>
        <w:trPr>
          <w:cantSplit/>
        </w:trPr>
        <w:tc>
          <w:tcPr>
            <w:tcW w:type="dxa" w:w="2600"/>
            <w:tcMar>
              <w:top w:type="dxa" w:w="90"/>
              <w:left w:type="dxa" w:w="130"/>
              <w:bottom w:type="dxa" w:w="90"/>
              <w:right w:type="dxa" w:w="130"/>
            </w:tcMar>
          </w:tcPr>
          <w:p>
            <w:pPr>
              <w:spacing w:after="0"/>
            </w:pPr>
            <w:r>
              <w:rPr>
                <w:rFonts w:ascii="Calibri" w:cs="Calibri" w:eastAsia="Calibri" w:hAnsi="Calibri"/>
                <w:b/>
                <w:bCs/>
                <w:i w:val="false"/>
                <w:iCs w:val="false"/>
                <w:color w:val="222222"/>
                <w:sz w:val="18"/>
                <w:szCs w:val="18"/>
              </w:rPr>
              <w:t xml:space="preserve">/build-a-hospitality-venture</w:t>
            </w:r>
          </w:p>
        </w:tc>
        <w:tc>
          <w:tcPr>
            <w:tcW w:type="dxa" w:w="4100"/>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Build a Hospitality Venture in the UAE | Red Berry</w:t>
            </w:r>
          </w:p>
          <w:p>
            <w:pPr>
              <w:spacing w:before="50"/>
            </w:pPr>
            <w:r>
              <w:rPr>
                <w:rFonts w:ascii="Calibri" w:cs="Calibri" w:eastAsia="Calibri" w:hAnsi="Calibri"/>
                <w:i/>
                <w:iCs/>
                <w:color w:val="5A5A5A"/>
                <w:sz w:val="15"/>
                <w:szCs w:val="15"/>
              </w:rPr>
              <w:t xml:space="preserve">50 characters</w:t>
            </w:r>
          </w:p>
        </w:tc>
        <w:tc>
          <w:tcPr>
            <w:tcW w:type="dxa" w:w="7258"/>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Hospitality in the UAE rewards operators who structure early. Licensing, permits, ownership and compliance built for a venture meant to last.</w:t>
            </w:r>
          </w:p>
          <w:p>
            <w:pPr>
              <w:spacing w:before="50"/>
            </w:pPr>
            <w:r>
              <w:rPr>
                <w:rFonts w:ascii="Calibri" w:cs="Calibri" w:eastAsia="Calibri" w:hAnsi="Calibri"/>
                <w:i/>
                <w:iCs/>
                <w:color w:val="5A5A5A"/>
                <w:sz w:val="15"/>
                <w:szCs w:val="15"/>
              </w:rPr>
              <w:t xml:space="preserve">141 characters</w:t>
            </w:r>
          </w:p>
        </w:tc>
      </w:tr>
      <w:tr>
        <w:trPr>
          <w:cantSplit/>
        </w:trPr>
        <w:tc>
          <w:tcPr>
            <w:tcW w:type="dxa" w:w="13958"/>
            <w:gridSpan w:val="3"/>
            <w:shd w:fill="F2E4E6" w:color="auto" w:val="clear"/>
            <w:tcMar>
              <w:top w:type="dxa" w:w="90"/>
              <w:left w:type="dxa" w:w="130"/>
              <w:bottom w:type="dxa" w:w="90"/>
              <w:right w:type="dxa" w:w="130"/>
            </w:tcMar>
          </w:tcPr>
          <w:p>
            <w:pPr>
              <w:spacing w:after="0"/>
            </w:pPr>
            <w:r>
              <w:rPr>
                <w:rFonts w:ascii="Calibri" w:cs="Calibri" w:eastAsia="Calibri" w:hAnsi="Calibri"/>
                <w:b/>
                <w:bCs/>
                <w:i w:val="false"/>
                <w:iCs w:val="false"/>
                <w:color w:val="A11A2B"/>
                <w:sz w:val="17"/>
                <w:szCs w:val="17"/>
              </w:rPr>
              <w:t xml:space="preserve">CAPABILITY PAGES</w:t>
            </w:r>
          </w:p>
        </w:tc>
      </w:tr>
      <w:tr>
        <w:trPr>
          <w:cantSplit/>
        </w:trPr>
        <w:tc>
          <w:tcPr>
            <w:tcW w:type="dxa" w:w="2600"/>
            <w:shd w:fill="FAFAFA" w:color="auto" w:val="clear"/>
            <w:tcMar>
              <w:top w:type="dxa" w:w="90"/>
              <w:left w:type="dxa" w:w="130"/>
              <w:bottom w:type="dxa" w:w="90"/>
              <w:right w:type="dxa" w:w="130"/>
            </w:tcMar>
          </w:tcPr>
          <w:p>
            <w:pPr>
              <w:spacing w:after="0"/>
            </w:pPr>
            <w:r>
              <w:rPr>
                <w:rFonts w:ascii="Calibri" w:cs="Calibri" w:eastAsia="Calibri" w:hAnsi="Calibri"/>
                <w:b/>
                <w:bCs/>
                <w:i w:val="false"/>
                <w:iCs w:val="false"/>
                <w:color w:val="222222"/>
                <w:sz w:val="18"/>
                <w:szCs w:val="18"/>
              </w:rPr>
              <w:t xml:space="preserve">/foundation-build</w:t>
            </w:r>
          </w:p>
        </w:tc>
        <w:tc>
          <w:tcPr>
            <w:tcW w:type="dxa" w:w="4100"/>
            <w:shd w:fill="FAFAFA" w:color="auto" w:val="clear"/>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Foundation Build | Red Berry</w:t>
            </w:r>
          </w:p>
          <w:p>
            <w:pPr>
              <w:spacing w:before="50"/>
            </w:pPr>
            <w:r>
              <w:rPr>
                <w:rFonts w:ascii="Calibri" w:cs="Calibri" w:eastAsia="Calibri" w:hAnsi="Calibri"/>
                <w:i/>
                <w:iCs/>
                <w:color w:val="5A5A5A"/>
                <w:sz w:val="15"/>
                <w:szCs w:val="15"/>
              </w:rPr>
              <w:t xml:space="preserve">28 characters</w:t>
            </w:r>
          </w:p>
        </w:tc>
        <w:tc>
          <w:tcPr>
            <w:tcW w:type="dxa" w:w="7258"/>
            <w:shd w:fill="FAFAFA" w:color="auto" w:val="clear"/>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The first structure everything else rests on. Company formation, licensing and residency in the UAE, built once and built to carry what comes next.</w:t>
            </w:r>
          </w:p>
          <w:p>
            <w:pPr>
              <w:spacing w:before="50"/>
            </w:pPr>
            <w:r>
              <w:rPr>
                <w:rFonts w:ascii="Calibri" w:cs="Calibri" w:eastAsia="Calibri" w:hAnsi="Calibri"/>
                <w:i/>
                <w:iCs/>
                <w:color w:val="5A5A5A"/>
                <w:sz w:val="15"/>
                <w:szCs w:val="15"/>
              </w:rPr>
              <w:t xml:space="preserve">147 characters</w:t>
            </w:r>
          </w:p>
        </w:tc>
      </w:tr>
      <w:tr>
        <w:trPr>
          <w:cantSplit/>
        </w:trPr>
        <w:tc>
          <w:tcPr>
            <w:tcW w:type="dxa" w:w="2600"/>
            <w:tcMar>
              <w:top w:type="dxa" w:w="90"/>
              <w:left w:type="dxa" w:w="130"/>
              <w:bottom w:type="dxa" w:w="90"/>
              <w:right w:type="dxa" w:w="130"/>
            </w:tcMar>
          </w:tcPr>
          <w:p>
            <w:pPr>
              <w:spacing w:after="0"/>
            </w:pPr>
            <w:r>
              <w:rPr>
                <w:rFonts w:ascii="Calibri" w:cs="Calibri" w:eastAsia="Calibri" w:hAnsi="Calibri"/>
                <w:b/>
                <w:bCs/>
                <w:i w:val="false"/>
                <w:iCs w:val="false"/>
                <w:color w:val="222222"/>
                <w:sz w:val="18"/>
                <w:szCs w:val="18"/>
              </w:rPr>
              <w:t xml:space="preserve">/financial-infrastructure</w:t>
            </w:r>
          </w:p>
        </w:tc>
        <w:tc>
          <w:tcPr>
            <w:tcW w:type="dxa" w:w="4100"/>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Financial Infrastructure | Red Berry</w:t>
            </w:r>
          </w:p>
          <w:p>
            <w:pPr>
              <w:spacing w:before="50"/>
            </w:pPr>
            <w:r>
              <w:rPr>
                <w:rFonts w:ascii="Calibri" w:cs="Calibri" w:eastAsia="Calibri" w:hAnsi="Calibri"/>
                <w:i/>
                <w:iCs/>
                <w:color w:val="5A5A5A"/>
                <w:sz w:val="15"/>
                <w:szCs w:val="15"/>
              </w:rPr>
              <w:t xml:space="preserve">36 characters</w:t>
            </w:r>
          </w:p>
        </w:tc>
        <w:tc>
          <w:tcPr>
            <w:tcW w:type="dxa" w:w="7258"/>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Banking, treasury and compliance arranged so money moves without friction. The financial rails ambitious businesses in the UAE and GCC run on.</w:t>
            </w:r>
          </w:p>
          <w:p>
            <w:pPr>
              <w:spacing w:before="50"/>
            </w:pPr>
            <w:r>
              <w:rPr>
                <w:rFonts w:ascii="Calibri" w:cs="Calibri" w:eastAsia="Calibri" w:hAnsi="Calibri"/>
                <w:i/>
                <w:iCs/>
                <w:color w:val="5A5A5A"/>
                <w:sz w:val="15"/>
                <w:szCs w:val="15"/>
              </w:rPr>
              <w:t xml:space="preserve">142 characters</w:t>
            </w:r>
          </w:p>
        </w:tc>
      </w:tr>
      <w:tr>
        <w:trPr>
          <w:cantSplit/>
        </w:trPr>
        <w:tc>
          <w:tcPr>
            <w:tcW w:type="dxa" w:w="2600"/>
            <w:shd w:fill="FAFAFA" w:color="auto" w:val="clear"/>
            <w:tcMar>
              <w:top w:type="dxa" w:w="90"/>
              <w:left w:type="dxa" w:w="130"/>
              <w:bottom w:type="dxa" w:w="90"/>
              <w:right w:type="dxa" w:w="130"/>
            </w:tcMar>
          </w:tcPr>
          <w:p>
            <w:pPr>
              <w:spacing w:after="0"/>
            </w:pPr>
            <w:r>
              <w:rPr>
                <w:rFonts w:ascii="Calibri" w:cs="Calibri" w:eastAsia="Calibri" w:hAnsi="Calibri"/>
                <w:b/>
                <w:bCs/>
                <w:i w:val="false"/>
                <w:iCs w:val="false"/>
                <w:color w:val="222222"/>
                <w:sz w:val="18"/>
                <w:szCs w:val="18"/>
              </w:rPr>
              <w:t xml:space="preserve">/wealth-structure-design</w:t>
            </w:r>
          </w:p>
        </w:tc>
        <w:tc>
          <w:tcPr>
            <w:tcW w:type="dxa" w:w="4100"/>
            <w:shd w:fill="FAFAFA" w:color="auto" w:val="clear"/>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Wealth Structure Design | Red Berry</w:t>
            </w:r>
          </w:p>
          <w:p>
            <w:pPr>
              <w:spacing w:before="50"/>
            </w:pPr>
            <w:r>
              <w:rPr>
                <w:rFonts w:ascii="Calibri" w:cs="Calibri" w:eastAsia="Calibri" w:hAnsi="Calibri"/>
                <w:i/>
                <w:iCs/>
                <w:color w:val="5A5A5A"/>
                <w:sz w:val="15"/>
                <w:szCs w:val="15"/>
              </w:rPr>
              <w:t xml:space="preserve">35 characters</w:t>
            </w:r>
          </w:p>
        </w:tc>
        <w:tc>
          <w:tcPr>
            <w:tcW w:type="dxa" w:w="7258"/>
            <w:shd w:fill="FAFAFA" w:color="auto" w:val="clear"/>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Holding companies, foundations and trusts designed around your assets and intentions. Wealth structuring in the UAE for founders and families.</w:t>
            </w:r>
          </w:p>
          <w:p>
            <w:pPr>
              <w:spacing w:before="50"/>
            </w:pPr>
            <w:r>
              <w:rPr>
                <w:rFonts w:ascii="Calibri" w:cs="Calibri" w:eastAsia="Calibri" w:hAnsi="Calibri"/>
                <w:i/>
                <w:iCs/>
                <w:color w:val="5A5A5A"/>
                <w:sz w:val="15"/>
                <w:szCs w:val="15"/>
              </w:rPr>
              <w:t xml:space="preserve">142 characters</w:t>
            </w:r>
          </w:p>
        </w:tc>
      </w:tr>
      <w:tr>
        <w:trPr>
          <w:cantSplit/>
        </w:trPr>
        <w:tc>
          <w:tcPr>
            <w:tcW w:type="dxa" w:w="2600"/>
            <w:tcMar>
              <w:top w:type="dxa" w:w="90"/>
              <w:left w:type="dxa" w:w="130"/>
              <w:bottom w:type="dxa" w:w="90"/>
              <w:right w:type="dxa" w:w="130"/>
            </w:tcMar>
          </w:tcPr>
          <w:p>
            <w:pPr>
              <w:spacing w:after="0"/>
            </w:pPr>
            <w:r>
              <w:rPr>
                <w:rFonts w:ascii="Calibri" w:cs="Calibri" w:eastAsia="Calibri" w:hAnsi="Calibri"/>
                <w:b/>
                <w:bCs/>
                <w:i w:val="false"/>
                <w:iCs w:val="false"/>
                <w:color w:val="222222"/>
                <w:sz w:val="18"/>
                <w:szCs w:val="18"/>
              </w:rPr>
              <w:t xml:space="preserve">/identity-foundation</w:t>
            </w:r>
          </w:p>
        </w:tc>
        <w:tc>
          <w:tcPr>
            <w:tcW w:type="dxa" w:w="4100"/>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Identity Foundation | Red Berry</w:t>
            </w:r>
          </w:p>
          <w:p>
            <w:pPr>
              <w:spacing w:before="50"/>
            </w:pPr>
            <w:r>
              <w:rPr>
                <w:rFonts w:ascii="Calibri" w:cs="Calibri" w:eastAsia="Calibri" w:hAnsi="Calibri"/>
                <w:i/>
                <w:iCs/>
                <w:color w:val="5A5A5A"/>
                <w:sz w:val="15"/>
                <w:szCs w:val="15"/>
              </w:rPr>
              <w:t xml:space="preserve">31 characters</w:t>
            </w:r>
          </w:p>
        </w:tc>
        <w:tc>
          <w:tcPr>
            <w:tcW w:type="dxa" w:w="7258"/>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Residency, visas and status form the base layer of everything you build. Identity structured in the UAE so your position is secure before you scale.</w:t>
            </w:r>
          </w:p>
          <w:p>
            <w:pPr>
              <w:spacing w:before="50"/>
            </w:pPr>
            <w:r>
              <w:rPr>
                <w:rFonts w:ascii="Calibri" w:cs="Calibri" w:eastAsia="Calibri" w:hAnsi="Calibri"/>
                <w:i/>
                <w:iCs/>
                <w:color w:val="5A5A5A"/>
                <w:sz w:val="15"/>
                <w:szCs w:val="15"/>
              </w:rPr>
              <w:t xml:space="preserve">148 characters</w:t>
            </w:r>
          </w:p>
        </w:tc>
      </w:tr>
      <w:tr>
        <w:trPr>
          <w:cantSplit/>
        </w:trPr>
        <w:tc>
          <w:tcPr>
            <w:tcW w:type="dxa" w:w="2600"/>
            <w:shd w:fill="FAFAFA" w:color="auto" w:val="clear"/>
            <w:tcMar>
              <w:top w:type="dxa" w:w="90"/>
              <w:left w:type="dxa" w:w="130"/>
              <w:bottom w:type="dxa" w:w="90"/>
              <w:right w:type="dxa" w:w="130"/>
            </w:tcMar>
          </w:tcPr>
          <w:p>
            <w:pPr>
              <w:spacing w:after="0"/>
            </w:pPr>
            <w:r>
              <w:rPr>
                <w:rFonts w:ascii="Calibri" w:cs="Calibri" w:eastAsia="Calibri" w:hAnsi="Calibri"/>
                <w:b/>
                <w:bCs/>
                <w:i w:val="false"/>
                <w:iCs w:val="false"/>
                <w:color w:val="222222"/>
                <w:sz w:val="18"/>
                <w:szCs w:val="18"/>
              </w:rPr>
              <w:t xml:space="preserve">/venture-architecture</w:t>
            </w:r>
          </w:p>
        </w:tc>
        <w:tc>
          <w:tcPr>
            <w:tcW w:type="dxa" w:w="4100"/>
            <w:shd w:fill="FAFAFA" w:color="auto" w:val="clear"/>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Venture Architecture | Red Berry</w:t>
            </w:r>
          </w:p>
          <w:p>
            <w:pPr>
              <w:spacing w:before="50"/>
            </w:pPr>
            <w:r>
              <w:rPr>
                <w:rFonts w:ascii="Calibri" w:cs="Calibri" w:eastAsia="Calibri" w:hAnsi="Calibri"/>
                <w:i/>
                <w:iCs/>
                <w:color w:val="5A5A5A"/>
                <w:sz w:val="15"/>
                <w:szCs w:val="15"/>
              </w:rPr>
              <w:t xml:space="preserve">32 characters</w:t>
            </w:r>
          </w:p>
        </w:tc>
        <w:tc>
          <w:tcPr>
            <w:tcW w:type="dxa" w:w="7258"/>
            <w:shd w:fill="FAFAFA" w:color="auto" w:val="clear"/>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Design a venture that can take investment, partners and growth. Ownership, entities and governance shaped before the pressure of scale arrives.</w:t>
            </w:r>
          </w:p>
          <w:p>
            <w:pPr>
              <w:spacing w:before="50"/>
            </w:pPr>
            <w:r>
              <w:rPr>
                <w:rFonts w:ascii="Calibri" w:cs="Calibri" w:eastAsia="Calibri" w:hAnsi="Calibri"/>
                <w:i/>
                <w:iCs/>
                <w:color w:val="5A5A5A"/>
                <w:sz w:val="15"/>
                <w:szCs w:val="15"/>
              </w:rPr>
              <w:t xml:space="preserve">143 characters</w:t>
            </w:r>
          </w:p>
        </w:tc>
      </w:tr>
      <w:tr>
        <w:trPr>
          <w:cantSplit/>
        </w:trPr>
        <w:tc>
          <w:tcPr>
            <w:tcW w:type="dxa" w:w="2600"/>
            <w:tcMar>
              <w:top w:type="dxa" w:w="90"/>
              <w:left w:type="dxa" w:w="130"/>
              <w:bottom w:type="dxa" w:w="90"/>
              <w:right w:type="dxa" w:w="130"/>
            </w:tcMar>
          </w:tcPr>
          <w:p>
            <w:pPr>
              <w:spacing w:after="0"/>
            </w:pPr>
            <w:r>
              <w:rPr>
                <w:rFonts w:ascii="Calibri" w:cs="Calibri" w:eastAsia="Calibri" w:hAnsi="Calibri"/>
                <w:b/>
                <w:bCs/>
                <w:i w:val="false"/>
                <w:iCs w:val="false"/>
                <w:color w:val="222222"/>
                <w:sz w:val="18"/>
                <w:szCs w:val="18"/>
              </w:rPr>
              <w:t xml:space="preserve">/sovereign-freedom</w:t>
            </w:r>
          </w:p>
        </w:tc>
        <w:tc>
          <w:tcPr>
            <w:tcW w:type="dxa" w:w="4100"/>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Sovereign Freedom | Red Berry</w:t>
            </w:r>
          </w:p>
          <w:p>
            <w:pPr>
              <w:spacing w:before="50"/>
            </w:pPr>
            <w:r>
              <w:rPr>
                <w:rFonts w:ascii="Calibri" w:cs="Calibri" w:eastAsia="Calibri" w:hAnsi="Calibri"/>
                <w:i/>
                <w:iCs/>
                <w:color w:val="5A5A5A"/>
                <w:sz w:val="15"/>
                <w:szCs w:val="15"/>
              </w:rPr>
              <w:t xml:space="preserve">29 characters</w:t>
            </w:r>
          </w:p>
        </w:tc>
        <w:tc>
          <w:tcPr>
            <w:tcW w:type="dxa" w:w="7258"/>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Citizenship, residency and jurisdiction chosen deliberately. Sovereign positioning that gives founders real optionality over where they live and hold.</w:t>
            </w:r>
          </w:p>
          <w:p>
            <w:pPr>
              <w:spacing w:before="50"/>
            </w:pPr>
            <w:r>
              <w:rPr>
                <w:rFonts w:ascii="Calibri" w:cs="Calibri" w:eastAsia="Calibri" w:hAnsi="Calibri"/>
                <w:i/>
                <w:iCs/>
                <w:color w:val="5A5A5A"/>
                <w:sz w:val="15"/>
                <w:szCs w:val="15"/>
              </w:rPr>
              <w:t xml:space="preserve">150 characters</w:t>
            </w:r>
          </w:p>
        </w:tc>
      </w:tr>
      <w:tr>
        <w:trPr>
          <w:cantSplit/>
        </w:trPr>
        <w:tc>
          <w:tcPr>
            <w:tcW w:type="dxa" w:w="2600"/>
            <w:shd w:fill="FAFAFA" w:color="auto" w:val="clear"/>
            <w:tcMar>
              <w:top w:type="dxa" w:w="90"/>
              <w:left w:type="dxa" w:w="130"/>
              <w:bottom w:type="dxa" w:w="90"/>
              <w:right w:type="dxa" w:w="130"/>
            </w:tcMar>
          </w:tcPr>
          <w:p>
            <w:pPr>
              <w:spacing w:after="0"/>
            </w:pPr>
            <w:r>
              <w:rPr>
                <w:rFonts w:ascii="Calibri" w:cs="Calibri" w:eastAsia="Calibri" w:hAnsi="Calibri"/>
                <w:b/>
                <w:bCs/>
                <w:i w:val="false"/>
                <w:iCs w:val="false"/>
                <w:color w:val="222222"/>
                <w:sz w:val="18"/>
                <w:szCs w:val="18"/>
              </w:rPr>
              <w:t xml:space="preserve">/legacy-life-architecture</w:t>
            </w:r>
          </w:p>
        </w:tc>
        <w:tc>
          <w:tcPr>
            <w:tcW w:type="dxa" w:w="4100"/>
            <w:shd w:fill="FAFAFA" w:color="auto" w:val="clear"/>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Legacy &amp; Life Architecture | Red Berry</w:t>
            </w:r>
          </w:p>
          <w:p>
            <w:pPr>
              <w:spacing w:before="50"/>
            </w:pPr>
            <w:r>
              <w:rPr>
                <w:rFonts w:ascii="Calibri" w:cs="Calibri" w:eastAsia="Calibri" w:hAnsi="Calibri"/>
                <w:i/>
                <w:iCs/>
                <w:color w:val="5A5A5A"/>
                <w:sz w:val="15"/>
                <w:szCs w:val="15"/>
              </w:rPr>
              <w:t xml:space="preserve">38 characters</w:t>
            </w:r>
          </w:p>
        </w:tc>
        <w:tc>
          <w:tcPr>
            <w:tcW w:type="dxa" w:w="7258"/>
            <w:shd w:fill="FAFAFA" w:color="auto" w:val="clear"/>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What outlasts you should be designed, not left to chance. Succession, governance and legacy planning for families building across generations.</w:t>
            </w:r>
          </w:p>
          <w:p>
            <w:pPr>
              <w:spacing w:before="50"/>
            </w:pPr>
            <w:r>
              <w:rPr>
                <w:rFonts w:ascii="Calibri" w:cs="Calibri" w:eastAsia="Calibri" w:hAnsi="Calibri"/>
                <w:i/>
                <w:iCs/>
                <w:color w:val="5A5A5A"/>
                <w:sz w:val="15"/>
                <w:szCs w:val="15"/>
              </w:rPr>
              <w:t xml:space="preserve">142 characters</w:t>
            </w:r>
          </w:p>
        </w:tc>
      </w:tr>
      <w:tr>
        <w:trPr>
          <w:cantSplit/>
        </w:trPr>
        <w:tc>
          <w:tcPr>
            <w:tcW w:type="dxa" w:w="13958"/>
            <w:gridSpan w:val="3"/>
            <w:shd w:fill="F2E4E6" w:color="auto" w:val="clear"/>
            <w:tcMar>
              <w:top w:type="dxa" w:w="90"/>
              <w:left w:type="dxa" w:w="130"/>
              <w:bottom w:type="dxa" w:w="90"/>
              <w:right w:type="dxa" w:w="130"/>
            </w:tcMar>
          </w:tcPr>
          <w:p>
            <w:pPr>
              <w:spacing w:after="0"/>
            </w:pPr>
            <w:r>
              <w:rPr>
                <w:rFonts w:ascii="Calibri" w:cs="Calibri" w:eastAsia="Calibri" w:hAnsi="Calibri"/>
                <w:b/>
                <w:bCs/>
                <w:i w:val="false"/>
                <w:iCs w:val="false"/>
                <w:color w:val="A11A2B"/>
                <w:sz w:val="17"/>
                <w:szCs w:val="17"/>
              </w:rPr>
              <w:t xml:space="preserve">ABOUT</w:t>
            </w:r>
          </w:p>
        </w:tc>
      </w:tr>
      <w:tr>
        <w:trPr>
          <w:cantSplit/>
        </w:trPr>
        <w:tc>
          <w:tcPr>
            <w:tcW w:type="dxa" w:w="2600"/>
            <w:tcMar>
              <w:top w:type="dxa" w:w="90"/>
              <w:left w:type="dxa" w:w="130"/>
              <w:bottom w:type="dxa" w:w="90"/>
              <w:right w:type="dxa" w:w="130"/>
            </w:tcMar>
          </w:tcPr>
          <w:p>
            <w:pPr>
              <w:spacing w:after="0"/>
            </w:pPr>
            <w:r>
              <w:rPr>
                <w:rFonts w:ascii="Calibri" w:cs="Calibri" w:eastAsia="Calibri" w:hAnsi="Calibri"/>
                <w:b/>
                <w:bCs/>
                <w:i w:val="false"/>
                <w:iCs w:val="false"/>
                <w:color w:val="222222"/>
                <w:sz w:val="18"/>
                <w:szCs w:val="18"/>
              </w:rPr>
              <w:t xml:space="preserve">/about/leadership</w:t>
            </w:r>
          </w:p>
        </w:tc>
        <w:tc>
          <w:tcPr>
            <w:tcW w:type="dxa" w:w="4100"/>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Leadership | Red Berry</w:t>
            </w:r>
          </w:p>
          <w:p>
            <w:pPr>
              <w:spacing w:before="50"/>
            </w:pPr>
            <w:r>
              <w:rPr>
                <w:rFonts w:ascii="Calibri" w:cs="Calibri" w:eastAsia="Calibri" w:hAnsi="Calibri"/>
                <w:i/>
                <w:iCs/>
                <w:color w:val="5A5A5A"/>
                <w:sz w:val="15"/>
                <w:szCs w:val="15"/>
              </w:rPr>
              <w:t xml:space="preserve">22 characters</w:t>
            </w:r>
          </w:p>
        </w:tc>
        <w:tc>
          <w:tcPr>
            <w:tcW w:type="dxa" w:w="7258"/>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The people behind Red Berry. Advisors who have built, structured and protected businesses across the UAE and GCC, and now do it for other founders.</w:t>
            </w:r>
          </w:p>
          <w:p>
            <w:pPr>
              <w:spacing w:before="50"/>
            </w:pPr>
            <w:r>
              <w:rPr>
                <w:rFonts w:ascii="Calibri" w:cs="Calibri" w:eastAsia="Calibri" w:hAnsi="Calibri"/>
                <w:i/>
                <w:iCs/>
                <w:color w:val="5A5A5A"/>
                <w:sz w:val="15"/>
                <w:szCs w:val="15"/>
              </w:rPr>
              <w:t xml:space="preserve">147 characters</w:t>
            </w:r>
          </w:p>
        </w:tc>
      </w:tr>
      <w:tr>
        <w:trPr>
          <w:cantSplit/>
        </w:trPr>
        <w:tc>
          <w:tcPr>
            <w:tcW w:type="dxa" w:w="2600"/>
            <w:shd w:fill="FAFAFA" w:color="auto" w:val="clear"/>
            <w:tcMar>
              <w:top w:type="dxa" w:w="90"/>
              <w:left w:type="dxa" w:w="130"/>
              <w:bottom w:type="dxa" w:w="90"/>
              <w:right w:type="dxa" w:w="130"/>
            </w:tcMar>
          </w:tcPr>
          <w:p>
            <w:pPr>
              <w:spacing w:after="0"/>
            </w:pPr>
            <w:r>
              <w:rPr>
                <w:rFonts w:ascii="Calibri" w:cs="Calibri" w:eastAsia="Calibri" w:hAnsi="Calibri"/>
                <w:b/>
                <w:bCs/>
                <w:i w:val="false"/>
                <w:iCs w:val="false"/>
                <w:color w:val="222222"/>
                <w:sz w:val="18"/>
                <w:szCs w:val="18"/>
              </w:rPr>
              <w:t xml:space="preserve">/about/why-red-berry-exists</w:t>
            </w:r>
          </w:p>
        </w:tc>
        <w:tc>
          <w:tcPr>
            <w:tcW w:type="dxa" w:w="4100"/>
            <w:shd w:fill="FAFAFA" w:color="auto" w:val="clear"/>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Why We Exist | Red Berry</w:t>
            </w:r>
          </w:p>
          <w:p>
            <w:pPr>
              <w:spacing w:before="50"/>
            </w:pPr>
            <w:r>
              <w:rPr>
                <w:rFonts w:ascii="Calibri" w:cs="Calibri" w:eastAsia="Calibri" w:hAnsi="Calibri"/>
                <w:i/>
                <w:iCs/>
                <w:color w:val="5A5A5A"/>
                <w:sz w:val="15"/>
                <w:szCs w:val="15"/>
              </w:rPr>
              <w:t xml:space="preserve">24 characters</w:t>
            </w:r>
          </w:p>
        </w:tc>
        <w:tc>
          <w:tcPr>
            <w:tcW w:type="dxa" w:w="7258"/>
            <w:shd w:fill="FAFAFA" w:color="auto" w:val="clear"/>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Ambition in the UAE fails on structure, not on ideas. Why Red Berry was built to give founders, investors and families infrastructure worth trusting.</w:t>
            </w:r>
          </w:p>
          <w:p>
            <w:pPr>
              <w:spacing w:before="50"/>
            </w:pPr>
            <w:r>
              <w:rPr>
                <w:rFonts w:ascii="Calibri" w:cs="Calibri" w:eastAsia="Calibri" w:hAnsi="Calibri"/>
                <w:i/>
                <w:iCs/>
                <w:color w:val="5A5A5A"/>
                <w:sz w:val="15"/>
                <w:szCs w:val="15"/>
              </w:rPr>
              <w:t xml:space="preserve">149 characters</w:t>
            </w:r>
          </w:p>
        </w:tc>
      </w:tr>
      <w:tr>
        <w:trPr>
          <w:cantSplit/>
        </w:trPr>
        <w:tc>
          <w:tcPr>
            <w:tcW w:type="dxa" w:w="2600"/>
            <w:tcMar>
              <w:top w:type="dxa" w:w="90"/>
              <w:left w:type="dxa" w:w="130"/>
              <w:bottom w:type="dxa" w:w="90"/>
              <w:right w:type="dxa" w:w="130"/>
            </w:tcMar>
          </w:tcPr>
          <w:p>
            <w:pPr>
              <w:spacing w:after="0"/>
            </w:pPr>
            <w:r>
              <w:rPr>
                <w:rFonts w:ascii="Calibri" w:cs="Calibri" w:eastAsia="Calibri" w:hAnsi="Calibri"/>
                <w:b/>
                <w:bCs/>
                <w:i w:val="false"/>
                <w:iCs w:val="false"/>
                <w:color w:val="222222"/>
                <w:sz w:val="18"/>
                <w:szCs w:val="18"/>
              </w:rPr>
              <w:t xml:space="preserve">/about/contact</w:t>
            </w:r>
          </w:p>
        </w:tc>
        <w:tc>
          <w:tcPr>
            <w:tcW w:type="dxa" w:w="4100"/>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Contact Red Berry | UAE &amp; GCC Advisory</w:t>
            </w:r>
          </w:p>
          <w:p>
            <w:pPr>
              <w:spacing w:before="50"/>
            </w:pPr>
            <w:r>
              <w:rPr>
                <w:rFonts w:ascii="Calibri" w:cs="Calibri" w:eastAsia="Calibri" w:hAnsi="Calibri"/>
                <w:i/>
                <w:iCs/>
                <w:color w:val="5A5A5A"/>
                <w:sz w:val="15"/>
                <w:szCs w:val="15"/>
              </w:rPr>
              <w:t xml:space="preserve">38 characters</w:t>
            </w:r>
          </w:p>
        </w:tc>
        <w:tc>
          <w:tcPr>
            <w:tcW w:type="dxa" w:w="7258"/>
            <w:tcMar>
              <w:top w:type="dxa" w:w="90"/>
              <w:left w:type="dxa" w:w="130"/>
              <w:bottom w:type="dxa" w:w="90"/>
              <w:right w:type="dxa" w:w="130"/>
            </w:tcMar>
          </w:tcPr>
          <w:p>
            <w:pPr>
              <w:spacing w:after="0"/>
            </w:pPr>
            <w:r>
              <w:rPr>
                <w:rFonts w:ascii="Calibri" w:cs="Calibri" w:eastAsia="Calibri" w:hAnsi="Calibri"/>
                <w:b w:val="false"/>
                <w:bCs w:val="false"/>
                <w:i w:val="false"/>
                <w:iCs w:val="false"/>
                <w:color w:val="222222"/>
                <w:sz w:val="19"/>
                <w:szCs w:val="19"/>
              </w:rPr>
              <w:t xml:space="preserve">Start a conversation about what you are building. Red Berry works with founders, investors and families establishing themselves in the UAE and GCC.</w:t>
            </w:r>
          </w:p>
          <w:p>
            <w:pPr>
              <w:spacing w:before="50"/>
            </w:pPr>
            <w:r>
              <w:rPr>
                <w:rFonts w:ascii="Calibri" w:cs="Calibri" w:eastAsia="Calibri" w:hAnsi="Calibri"/>
                <w:i/>
                <w:iCs/>
                <w:color w:val="5A5A5A"/>
                <w:sz w:val="15"/>
                <w:szCs w:val="15"/>
              </w:rPr>
              <w:t xml:space="preserve">147 characters</w:t>
            </w:r>
          </w:p>
        </w:tc>
      </w:tr>
    </w:tbl>
    <w:p>
      <w:pPr>
        <w:spacing w:after="100" w:before="400"/>
      </w:pPr>
      <w:r>
        <w:rPr>
          <w:rFonts w:ascii="Calibri" w:cs="Calibri" w:eastAsia="Calibri" w:hAnsi="Calibri"/>
          <w:b/>
          <w:bCs/>
          <w:color w:val="222222"/>
          <w:sz w:val="24"/>
          <w:szCs w:val="24"/>
        </w:rPr>
        <w:t xml:space="preserve">Notes on implementation</w:t>
      </w:r>
    </w:p>
    <w:p>
      <w:pPr>
        <w:spacing w:after="140"/>
      </w:pPr>
      <w:r>
        <w:rPr>
          <w:rFonts w:ascii="Calibri" w:cs="Calibri" w:eastAsia="Calibri" w:hAnsi="Calibri"/>
          <w:b w:val="false"/>
          <w:bCs w:val="false"/>
          <w:i w:val="false"/>
          <w:iCs w:val="false"/>
          <w:color w:val="222222"/>
          <w:sz w:val="19"/>
          <w:szCs w:val="19"/>
        </w:rPr>
        <w:t xml:space="preserve">Titles are kept under 60 characters and descriptions under 155 so they display in full rather than being cut off in results. Google rewrites descriptions often; a well-written one still governs what appears most of the time, and always controls how the link looks when it is shared.</w:t>
      </w:r>
    </w:p>
    <w:p>
      <w:pPr>
        <w:spacing w:after="140"/>
      </w:pPr>
      <w:r>
        <w:rPr>
          <w:rFonts w:ascii="Calibri" w:cs="Calibri" w:eastAsia="Calibri" w:hAnsi="Calibri"/>
          <w:b w:val="false"/>
          <w:bCs w:val="false"/>
          <w:i w:val="false"/>
          <w:iCs w:val="false"/>
          <w:color w:val="222222"/>
          <w:sz w:val="19"/>
          <w:szCs w:val="19"/>
        </w:rPr>
        <w:t xml:space="preserve">The brand name sits at the end of each title so the distinctive words come first. This is deliberate — a searcher scanning results reads the first three or four words, and those should describe the page, not the company.</w:t>
      </w:r>
    </w:p>
    <w:p>
      <w:pPr>
        <w:spacing w:after="140"/>
      </w:pPr>
      <w:r>
        <w:rPr>
          <w:rFonts w:ascii="Calibri" w:cs="Calibri" w:eastAsia="Calibri" w:hAnsi="Calibri"/>
          <w:b w:val="false"/>
          <w:bCs w:val="false"/>
          <w:i w:val="false"/>
          <w:iCs w:val="false"/>
          <w:color w:val="222222"/>
          <w:sz w:val="19"/>
          <w:szCs w:val="19"/>
        </w:rPr>
        <w:t xml:space="preserve">Set the matching Open Graph and Twitter tags on each page as well, using the same title and description. At present those tags point at the staging domain redberrycorporate.ittcomcentre.net, which should be changed to redberry.ae across the site. Add a rel="canonical" tag on every page pointing to its own redberry.ae URL at the same time.</w:t>
      </w:r>
    </w:p>
    <w:p>
      <w:pPr>
        <w:spacing w:after="0"/>
      </w:pPr>
      <w:r>
        <w:rPr>
          <w:rFonts w:ascii="Calibri" w:cs="Calibri" w:eastAsia="Calibri" w:hAnsi="Calibri"/>
          <w:b w:val="false"/>
          <w:bCs w:val="false"/>
          <w:i w:val="false"/>
          <w:iCs w:val="false"/>
          <w:color w:val="222222"/>
          <w:sz w:val="19"/>
          <w:szCs w:val="19"/>
        </w:rPr>
        <w:t xml:space="preserve">These are written to be read, not stuffed with keywords. If you later want versions weighted toward specific search terms — "business setup Dubai", "golden visa UAE", "family office DIFC" — those can be produced as a second pass once you have keyword data from Search Console.</w:t>
      </w:r>
    </w:p>
    <w:sectPr>
      <w:pgSz w:w="16838" w:h="11906"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2026-09-04T10:22:50.380Z</dcterms:created>
  <dcterms:modified xsi:type="dcterms:W3CDTF">2026-09-04T10:22:50.380Z</dcterms:modified>
</cp:coreProperties>
</file>

<file path=docProps/custom.xml><?xml version="1.0" encoding="utf-8"?>
<Properties xmlns="http://schemas.openxmlformats.org/officeDocument/2006/custom-properties" xmlns:vt="http://schemas.openxmlformats.org/officeDocument/2006/docPropsVTypes"/>
</file>