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Open digital twin couples reformer kinetics, furnace, tube wall and creep life</w:t>
      </w:r>
    </w:p>
    <w:p>
      <w:r>
        <w:t xml:space="preserve">Calibrated on published plant data: outlet T within 4 K, wall T within 12 K</w:t>
      </w:r>
    </w:p>
    <w:p>
      <w:r>
        <w:t xml:space="preserve">Firing, steam-to-carbon and excess air govern hot-spot temperature and life</w:t>
      </w:r>
    </w:p>
    <w:p>
      <w:r>
        <w:t xml:space="preserve">Catalyst aging doubles tube-life cost; load-following changes it under 2 %</w:t>
      </w:r>
    </w:p>
    <w:p>
      <w:r>
        <w:t xml:space="preserve">Creep-curve scatter dominates life uncertainty; regime rankings survive it</w:t>
      </w:r>
    </w:p>
    <w:sectPr/>
  </w:body>
</w:document>
</file>