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4136624"/>
        <w:docPartObj>
          <w:docPartGallery w:val="Cover Pages"/>
          <w:docPartUnique/>
        </w:docPartObj>
      </w:sdtPr>
      <w:sdtEndPr/>
      <w:sdtContent>
        <w:p w:rsidR="005C188B" w:rsidRDefault="00646241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:rsidR="005C188B" w:rsidRDefault="00646241">
          <w:pPr>
            <w:spacing w:before="120"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Учреждение образования </w:t>
          </w:r>
        </w:p>
        <w:p w:rsidR="005C188B" w:rsidRDefault="00646241">
          <w:pPr>
            <w:spacing w:before="120"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БЕЛОРУССКИЙ ГОСУДАРСТВЕННЫЙ УНИВЕРСИТЕТ ИНФОРМАТИКИ И РАДИОЭЛЕКТРОНИКИ</w:t>
          </w: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C188B" w:rsidRDefault="0064624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  <w:t>Кафедра ЭВМ</w:t>
          </w: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C188B" w:rsidRDefault="0064624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Отчёт по лабораторной работе №11</w:t>
          </w:r>
        </w:p>
        <w:p w:rsidR="005C188B" w:rsidRDefault="0064624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на тему: «</w:t>
          </w:r>
          <w:r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Исследование работы сумматора</w:t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»</w:t>
          </w: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5C188B" w:rsidRDefault="00646241">
          <w:pPr>
            <w:spacing w:after="0" w:line="240" w:lineRule="auto"/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Студент группы </w:t>
          </w:r>
          <w:r w:rsidR="007175DD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4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50501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7175DD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  Минаковский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</w:t>
          </w:r>
          <w:r w:rsidR="007175DD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К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.А.</w:t>
          </w:r>
        </w:p>
        <w:p w:rsidR="005C188B" w:rsidRDefault="0064624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Преподаватель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  <w:t xml:space="preserve">            Тимошенко В.С.</w:t>
          </w: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  <w:bookmarkStart w:id="0" w:name="_GoBack"/>
          <w:bookmarkEnd w:id="0"/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5C1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C188B" w:rsidRDefault="007175D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t>Минск 2016</w:t>
          </w:r>
        </w:p>
        <w:p w:rsidR="005C188B" w:rsidRDefault="00646241">
          <w:pP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br w:type="page"/>
          </w:r>
        </w:p>
      </w:sdtContent>
    </w:sdt>
    <w:p w:rsidR="005C188B" w:rsidRDefault="00646241">
      <w:pPr>
        <w:pStyle w:val="aa"/>
        <w:numPr>
          <w:ilvl w:val="0"/>
          <w:numId w:val="1"/>
        </w:numPr>
        <w:spacing w:after="0" w:line="276" w:lineRule="auto"/>
        <w:ind w:left="357" w:firstLine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Цель работы</w:t>
      </w:r>
    </w:p>
    <w:p w:rsidR="005C188B" w:rsidRDefault="00646241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исследование работы сумматора.</w:t>
      </w:r>
    </w:p>
    <w:p w:rsidR="005C188B" w:rsidRDefault="00646241">
      <w:pPr>
        <w:pStyle w:val="aa"/>
        <w:numPr>
          <w:ilvl w:val="0"/>
          <w:numId w:val="1"/>
        </w:numPr>
        <w:spacing w:after="0" w:line="276" w:lineRule="auto"/>
        <w:ind w:left="357" w:firstLine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Сведения, необходимые для выполнения работы</w:t>
      </w:r>
    </w:p>
    <w:p w:rsidR="005C188B" w:rsidRDefault="0064624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Сумматоры предназначены для выполнения арифметических операций сложения и вычитания как двоичных, гак и десятичных чисел. Приведем основные классификационные признаки сумматоров.</w:t>
      </w:r>
    </w:p>
    <w:p w:rsidR="005C188B" w:rsidRDefault="0064624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виду выполняемой операции можно выделить две группы сумматоров:</w:t>
      </w:r>
    </w:p>
    <w:p w:rsidR="005C188B" w:rsidRDefault="00646241">
      <w:pPr>
        <w:pStyle w:val="ad"/>
        <w:numPr>
          <w:ilvl w:val="0"/>
          <w:numId w:val="2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сумматоры, выполняющие сложение положительных чисел (без учета знака числа),</w:t>
      </w:r>
    </w:p>
    <w:p w:rsidR="005C188B" w:rsidRDefault="00646241">
      <w:pPr>
        <w:pStyle w:val="ad"/>
        <w:numPr>
          <w:ilvl w:val="0"/>
          <w:numId w:val="2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сумматоры, выполняющие операцию сложения положительных и отрицательных чисел. Такие устройства называют сумматорами-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вычитателями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Они могут работать в режиме алгебраического (с учетом знака) суммирования и вычитания чисел.</w:t>
      </w:r>
    </w:p>
    <w:p w:rsidR="005C188B" w:rsidRDefault="0064624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используемой системе счисления сумматоры подразделяются на:</w:t>
      </w:r>
    </w:p>
    <w:p w:rsidR="005C188B" w:rsidRDefault="00646241">
      <w:pPr>
        <w:pStyle w:val="ad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двоичные сумматоры, выполняющие операции над двоичными числами;</w:t>
      </w:r>
    </w:p>
    <w:p w:rsidR="005C188B" w:rsidRDefault="00646241">
      <w:pPr>
        <w:pStyle w:val="ad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десятичные сумматоры, выполняющие операции над десятичными числами.</w:t>
      </w:r>
    </w:p>
    <w:p w:rsidR="005C188B" w:rsidRDefault="0064624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последовательности выполнения операции во времени выделяют:</w:t>
      </w:r>
    </w:p>
    <w:p w:rsidR="005C188B" w:rsidRDefault="00646241">
      <w:pPr>
        <w:pStyle w:val="ad"/>
        <w:numPr>
          <w:ilvl w:val="0"/>
          <w:numId w:val="4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параллельные сумматоры, в которых все разряды складываемых чисел подаются на входы сумматора одновременно. Такие сумматоры строятся на комбинационных устройствах и рассматриваются в дальнейшем;</w:t>
      </w:r>
    </w:p>
    <w:p w:rsidR="005C188B" w:rsidRDefault="00646241">
      <w:pPr>
        <w:pStyle w:val="ad"/>
        <w:numPr>
          <w:ilvl w:val="0"/>
          <w:numId w:val="4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последовательные сумматоры, на входы которых разряды складываемых чисел подаются последовательно во времени (разряд за разрядом). В них используются элементы памяти.</w:t>
      </w:r>
    </w:p>
    <w:p w:rsidR="005C188B" w:rsidRDefault="0064624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двоичных сумматоров различают одноразрядные и многоразрядные сумматоры. Одноразрядные сумматоры служат основой для построения многоразрядных. Многоразрядные сумматоры подразделяются на сумматоры с последовательным и параллельным переносом.</w:t>
      </w:r>
    </w:p>
    <w:p w:rsidR="005C188B" w:rsidRDefault="0064624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Полным одноразрядным сумматором (рис. 1) называется комбинационное устройство с тремя входами и двумя выходами, выполняющее сложение трех одноразрядных чисел по правилам двоичной арифметики.</w:t>
      </w:r>
    </w:p>
    <w:p w:rsidR="005C188B" w:rsidRDefault="0064624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52900" cy="2491740"/>
            <wp:effectExtent l="0" t="0" r="0" b="0"/>
            <wp:docPr id="1" name="Рисунок 1" descr="su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sum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8B" w:rsidRDefault="00646241">
      <w:pPr>
        <w:pStyle w:val="a9"/>
        <w:jc w:val="center"/>
      </w:pPr>
      <w:r>
        <w:rPr>
          <w:color w:val="00000A"/>
          <w:sz w:val="28"/>
        </w:rPr>
        <w:t xml:space="preserve">Рис. </w:t>
      </w:r>
      <w:r>
        <w:rPr>
          <w:color w:val="00000A"/>
          <w:sz w:val="28"/>
        </w:rP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color w:val="00000A"/>
          <w:sz w:val="28"/>
        </w:rPr>
        <w:t>. Условное графическое обозначение одноразрядного сумматора</w:t>
      </w:r>
    </w:p>
    <w:p w:rsidR="005C188B" w:rsidRDefault="0064624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входы сумматора поступают сигналы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i-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горязряда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сигнала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Ci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переноса из предыдущего разряда суммы S и переноса С в следующий разряд. Работа одноразрядного полного сумматора описывается таблицей состояний (табл. 1).</w:t>
      </w:r>
    </w:p>
    <w:p w:rsidR="005C188B" w:rsidRDefault="00646241">
      <w:pPr>
        <w:spacing w:after="0" w:line="276" w:lineRule="auto"/>
        <w:ind w:right="2977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f"/>
        <w:tblW w:w="3184" w:type="dxa"/>
        <w:jc w:val="center"/>
        <w:tblLook w:val="04A0" w:firstRow="1" w:lastRow="0" w:firstColumn="1" w:lastColumn="0" w:noHBand="0" w:noVBand="1"/>
      </w:tblPr>
      <w:tblGrid>
        <w:gridCol w:w="557"/>
        <w:gridCol w:w="558"/>
        <w:gridCol w:w="577"/>
        <w:gridCol w:w="901"/>
        <w:gridCol w:w="591"/>
      </w:tblGrid>
      <w:tr w:rsidR="005C188B">
        <w:trPr>
          <w:trHeight w:val="529"/>
          <w:jc w:val="center"/>
        </w:trPr>
        <w:tc>
          <w:tcPr>
            <w:tcW w:w="1692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Входы</w:t>
            </w:r>
          </w:p>
        </w:tc>
        <w:tc>
          <w:tcPr>
            <w:tcW w:w="1492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Выходы</w:t>
            </w:r>
          </w:p>
        </w:tc>
      </w:tr>
      <w:tr w:rsidR="005C188B">
        <w:trPr>
          <w:trHeight w:val="512"/>
          <w:jc w:val="center"/>
        </w:trPr>
        <w:tc>
          <w:tcPr>
            <w:tcW w:w="55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58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7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59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5C188B">
        <w:trPr>
          <w:trHeight w:val="529"/>
          <w:jc w:val="center"/>
        </w:trPr>
        <w:tc>
          <w:tcPr>
            <w:tcW w:w="55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188B">
        <w:trPr>
          <w:trHeight w:val="529"/>
          <w:jc w:val="center"/>
        </w:trPr>
        <w:tc>
          <w:tcPr>
            <w:tcW w:w="55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188B">
        <w:trPr>
          <w:trHeight w:val="512"/>
          <w:jc w:val="center"/>
        </w:trPr>
        <w:tc>
          <w:tcPr>
            <w:tcW w:w="55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188B">
        <w:trPr>
          <w:trHeight w:val="529"/>
          <w:jc w:val="center"/>
        </w:trPr>
        <w:tc>
          <w:tcPr>
            <w:tcW w:w="55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188B">
        <w:trPr>
          <w:trHeight w:val="529"/>
          <w:jc w:val="center"/>
        </w:trPr>
        <w:tc>
          <w:tcPr>
            <w:tcW w:w="55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188B">
        <w:trPr>
          <w:trHeight w:val="529"/>
          <w:jc w:val="center"/>
        </w:trPr>
        <w:tc>
          <w:tcPr>
            <w:tcW w:w="55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188B">
        <w:trPr>
          <w:trHeight w:val="512"/>
          <w:jc w:val="center"/>
        </w:trPr>
        <w:tc>
          <w:tcPr>
            <w:tcW w:w="55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188B">
        <w:trPr>
          <w:trHeight w:val="529"/>
          <w:jc w:val="center"/>
        </w:trPr>
        <w:tc>
          <w:tcPr>
            <w:tcW w:w="55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1" w:type="dxa"/>
            <w:shd w:val="clear" w:color="auto" w:fill="auto"/>
            <w:tcMar>
              <w:left w:w="108" w:type="dxa"/>
            </w:tcMar>
            <w:vAlign w:val="center"/>
          </w:tcPr>
          <w:p w:rsidR="005C188B" w:rsidRDefault="006462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C188B" w:rsidRDefault="005C188B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188B" w:rsidRDefault="005C188B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188B" w:rsidRDefault="0064624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переноса формируется в соответствии с выражением:</w:t>
      </w:r>
    </w:p>
    <w:p w:rsidR="005C188B" w:rsidRDefault="00DE20D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C188B" w:rsidRDefault="0064624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Полные одноразрядные сумматоры используются для построения многоразрядных сумматоров. На рис. 2 приведена схема соединения двух </w:t>
      </w:r>
      <w:r>
        <w:rPr>
          <w:rFonts w:ascii="Times New Roman" w:hAnsi="Times New Roman" w:cs="Times New Roman"/>
          <w:sz w:val="28"/>
          <w:szCs w:val="28"/>
        </w:rPr>
        <w:lastRenderedPageBreak/>
        <w:t>одноразрядных полных сумматоров для получения двухразрядного полного сумматора. Выход переноса предыдущего одноразрядного сумматора соединяется со входом переноса предыдущего.</w:t>
      </w:r>
    </w:p>
    <w:p w:rsidR="005C188B" w:rsidRDefault="0064624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сумматор называется сумматором с последовательным переносом. Сумматор с последовательным переносом имеет низкое быстродействие, так как сигналы суммы и переноса старшего разряда появятся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того, как последовательно сформируются сигналы переноса всех предыдущих разрядов.</w:t>
      </w:r>
    </w:p>
    <w:p w:rsidR="005C188B" w:rsidRDefault="00646241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56965" cy="3642360"/>
            <wp:effectExtent l="0" t="0" r="0" b="0"/>
            <wp:docPr id="2" name="Рисунок 4" descr="C:\Users\Victor Makoed\AppData\Local\Microsoft\Windows\INetCache\Content.Word\S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C:\Users\Victor Makoed\AppData\Local\Microsoft\Windows\INetCache\Content.Word\SUM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8B" w:rsidRDefault="00646241">
      <w:pPr>
        <w:spacing w:after="0" w:line="276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2. Схема увеличения разрядности сумматора</w:t>
      </w:r>
    </w:p>
    <w:p w:rsidR="005C188B" w:rsidRDefault="005C188B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188B" w:rsidRDefault="0064624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увеличения быстродействия многоразрядного сумматора применяется схема ускоренного переноса, которая в соответствии с состоянием сигналов на информационных входах и входного сигнала переноса формирует выходной сигнал переноса. Такой сумматор называется сумматором с параллельным переносом. На этом принципе построен четырехразрядный сумматор К155ИМЗ (рис. 3).</w:t>
      </w:r>
    </w:p>
    <w:p w:rsidR="005C188B" w:rsidRDefault="00646241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93540" cy="4046220"/>
            <wp:effectExtent l="0" t="0" r="0" b="0"/>
            <wp:docPr id="3" name="Рисунок 9" descr="C:\Users\Victor Makoed\Desktop\su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C:\Users\Victor Makoed\Desktop\sum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8B" w:rsidRDefault="00646241">
      <w:pPr>
        <w:spacing w:after="0" w:line="276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3. Схема увеличения разрядности сумматора</w:t>
      </w:r>
    </w:p>
    <w:p w:rsidR="005C188B" w:rsidRDefault="005C188B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188B" w:rsidRDefault="005C188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188B" w:rsidRDefault="00646241">
      <w:pPr>
        <w:pStyle w:val="aa"/>
        <w:numPr>
          <w:ilvl w:val="0"/>
          <w:numId w:val="1"/>
        </w:numPr>
        <w:spacing w:after="0" w:line="276" w:lineRule="auto"/>
        <w:ind w:left="357"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Исследование РАБОТЫ СУММАТОРА</w:t>
      </w:r>
    </w:p>
    <w:p w:rsidR="005C188B" w:rsidRDefault="005C188B">
      <w:pPr>
        <w:spacing w:after="0"/>
        <w:ind w:firstLine="709"/>
      </w:pPr>
    </w:p>
    <w:p w:rsidR="005C188B" w:rsidRDefault="00646241">
      <w:pPr>
        <w:pStyle w:val="a9"/>
        <w:keepNext/>
        <w:spacing w:after="0"/>
        <w:ind w:left="8080"/>
      </w:pPr>
      <w:r>
        <w:rPr>
          <w:i w:val="0"/>
          <w:color w:val="00000A"/>
          <w:sz w:val="28"/>
        </w:rPr>
        <w:t xml:space="preserve">Таблица </w:t>
      </w:r>
      <w:r>
        <w:rPr>
          <w:i w:val="0"/>
          <w:color w:val="00000A"/>
          <w:sz w:val="28"/>
        </w:rP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5C188B" w:rsidRDefault="00646241">
      <w:pPr>
        <w:pStyle w:val="a9"/>
        <w:keepNext/>
      </w:pPr>
      <w:r>
        <w:rPr>
          <w:noProof/>
        </w:rPr>
        <w:drawing>
          <wp:inline distT="0" distB="0" distL="0" distR="0">
            <wp:extent cx="5783580" cy="2179320"/>
            <wp:effectExtent l="0" t="0" r="0" b="0"/>
            <wp:docPr id="4" name="Image1" descr="C:\Users\Victor Makoe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C:\Users\Victor Makoed\Desktop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8B" w:rsidRDefault="005C18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C188B" w:rsidRDefault="005C18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C188B" w:rsidRDefault="005C18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C188B" w:rsidRDefault="005C18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C188B" w:rsidRDefault="005C18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46241" w:rsidRDefault="0064624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C188B" w:rsidRPr="00646241" w:rsidRDefault="00646241" w:rsidP="00646241">
      <w:pPr>
        <w:pStyle w:val="aa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46241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Вывод</w:t>
      </w:r>
    </w:p>
    <w:p w:rsidR="005C188B" w:rsidRDefault="00646241">
      <w:pPr>
        <w:pStyle w:val="aa"/>
        <w:spacing w:after="12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проведено исследование </w:t>
      </w:r>
      <w:bookmarkStart w:id="1" w:name="__DdeLink__687_805891730"/>
      <w:r>
        <w:rPr>
          <w:rFonts w:ascii="Times New Roman" w:hAnsi="Times New Roman" w:cs="Times New Roman"/>
          <w:sz w:val="28"/>
          <w:szCs w:val="28"/>
        </w:rPr>
        <w:t>сумматора</w:t>
      </w:r>
      <w:bookmarkEnd w:id="1"/>
      <w:r>
        <w:rPr>
          <w:rFonts w:ascii="Times New Roman" w:hAnsi="Times New Roman" w:cs="Times New Roman"/>
          <w:sz w:val="28"/>
          <w:szCs w:val="28"/>
        </w:rPr>
        <w:t>. Были построены временные диаграммы состояний, получена таблица истинности сумматора.</w:t>
      </w:r>
    </w:p>
    <w:p w:rsidR="005C188B" w:rsidRDefault="00646241">
      <w:pPr>
        <w:pStyle w:val="aa"/>
        <w:spacing w:after="12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Экспериментальные данные согласуются с теоретическими.</w:t>
      </w:r>
    </w:p>
    <w:sectPr w:rsidR="005C188B">
      <w:footerReference w:type="default" r:id="rId12"/>
      <w:pgSz w:w="11906" w:h="16838"/>
      <w:pgMar w:top="1134" w:right="991" w:bottom="1134" w:left="1701" w:header="0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0D7" w:rsidRDefault="00DE20D7">
      <w:pPr>
        <w:spacing w:after="0" w:line="240" w:lineRule="auto"/>
      </w:pPr>
      <w:r>
        <w:separator/>
      </w:r>
    </w:p>
  </w:endnote>
  <w:endnote w:type="continuationSeparator" w:id="0">
    <w:p w:rsidR="00DE20D7" w:rsidRDefault="00DE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595786"/>
      <w:docPartObj>
        <w:docPartGallery w:val="Page Numbers (Bottom of Page)"/>
        <w:docPartUnique/>
      </w:docPartObj>
    </w:sdtPr>
    <w:sdtEndPr/>
    <w:sdtContent>
      <w:p w:rsidR="005C188B" w:rsidRDefault="00646241">
        <w:pPr>
          <w:pStyle w:val="ac"/>
          <w:jc w:val="center"/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instrText>PAGE</w:instrText>
        </w:r>
        <w:r>
          <w:fldChar w:fldCharType="separate"/>
        </w:r>
        <w:r w:rsidR="007175DD">
          <w:rPr>
            <w:noProof/>
          </w:rPr>
          <w:t>5</w:t>
        </w:r>
        <w:r>
          <w:fldChar w:fldCharType="end"/>
        </w:r>
      </w:p>
    </w:sdtContent>
  </w:sdt>
  <w:p w:rsidR="005C188B" w:rsidRDefault="005C188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0D7" w:rsidRDefault="00DE20D7">
      <w:pPr>
        <w:spacing w:after="0" w:line="240" w:lineRule="auto"/>
      </w:pPr>
      <w:r>
        <w:separator/>
      </w:r>
    </w:p>
  </w:footnote>
  <w:footnote w:type="continuationSeparator" w:id="0">
    <w:p w:rsidR="00DE20D7" w:rsidRDefault="00DE2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D1CA4"/>
    <w:multiLevelType w:val="multilevel"/>
    <w:tmpl w:val="04BC203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58028C"/>
    <w:multiLevelType w:val="multilevel"/>
    <w:tmpl w:val="A4A4B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447F77B0"/>
    <w:multiLevelType w:val="multilevel"/>
    <w:tmpl w:val="EB2EE10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B337AB"/>
    <w:multiLevelType w:val="multilevel"/>
    <w:tmpl w:val="A95489CE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A95281"/>
    <w:multiLevelType w:val="multilevel"/>
    <w:tmpl w:val="CCAEC366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8B"/>
    <w:rsid w:val="005C188B"/>
    <w:rsid w:val="00646241"/>
    <w:rsid w:val="007175DD"/>
    <w:rsid w:val="00DE01DD"/>
    <w:rsid w:val="00DE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820285-253A-49A0-BBF1-09531F21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A2"/>
    <w:pPr>
      <w:suppressAutoHyphens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209D9"/>
    <w:rPr>
      <w:color w:val="808080"/>
    </w:rPr>
  </w:style>
  <w:style w:type="character" w:customStyle="1" w:styleId="a4">
    <w:name w:val="Верхний колонтитул Знак"/>
    <w:basedOn w:val="a0"/>
    <w:uiPriority w:val="99"/>
    <w:qFormat/>
    <w:rsid w:val="00FF2C95"/>
  </w:style>
  <w:style w:type="character" w:customStyle="1" w:styleId="a5">
    <w:name w:val="Нижний колонтитул Знак"/>
    <w:basedOn w:val="a0"/>
    <w:uiPriority w:val="99"/>
    <w:qFormat/>
    <w:rsid w:val="00FF2C95"/>
  </w:style>
  <w:style w:type="character" w:customStyle="1" w:styleId="a6">
    <w:name w:val="Без интервала Знак"/>
    <w:basedOn w:val="a0"/>
    <w:uiPriority w:val="1"/>
    <w:qFormat/>
    <w:rsid w:val="005001F1"/>
    <w:rPr>
      <w:rFonts w:eastAsiaTheme="minorEastAsia"/>
      <w:lang w:eastAsia="ru-RU"/>
    </w:rPr>
  </w:style>
  <w:style w:type="character" w:customStyle="1" w:styleId="a7">
    <w:name w:val="Текст выноски Знак"/>
    <w:basedOn w:val="a0"/>
    <w:uiPriority w:val="99"/>
    <w:semiHidden/>
    <w:qFormat/>
    <w:rsid w:val="003831BB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uiPriority w:val="35"/>
    <w:unhideWhenUsed/>
    <w:qFormat/>
    <w:rsid w:val="006209D9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6209D9"/>
    <w:pPr>
      <w:ind w:left="720"/>
      <w:contextualSpacing/>
    </w:pPr>
  </w:style>
  <w:style w:type="paragraph" w:styleId="ab">
    <w:name w:val="header"/>
    <w:basedOn w:val="a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 Spacing"/>
    <w:uiPriority w:val="1"/>
    <w:qFormat/>
    <w:rsid w:val="005001F1"/>
    <w:pPr>
      <w:suppressAutoHyphens/>
      <w:spacing w:line="240" w:lineRule="auto"/>
    </w:pPr>
    <w:rPr>
      <w:rFonts w:ascii="Calibri" w:eastAsiaTheme="minorEastAsia" w:hAnsi="Calibri"/>
      <w:lang w:eastAsia="ru-RU"/>
    </w:rPr>
  </w:style>
  <w:style w:type="paragraph" w:styleId="ae">
    <w:name w:val="Balloon Text"/>
    <w:basedOn w:val="a"/>
    <w:uiPriority w:val="99"/>
    <w:semiHidden/>
    <w:unhideWhenUsed/>
    <w:qFormat/>
    <w:rsid w:val="003831BB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6209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6A16-7E10-4A0F-BC7D-712DF9DA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Makoed</dc:creator>
  <cp:lastModifiedBy>Константин Минаковский</cp:lastModifiedBy>
  <cp:revision>9</cp:revision>
  <cp:lastPrinted>2015-05-26T08:52:00Z</cp:lastPrinted>
  <dcterms:created xsi:type="dcterms:W3CDTF">2015-05-20T05:36:00Z</dcterms:created>
  <dcterms:modified xsi:type="dcterms:W3CDTF">2016-12-04T20:46:00Z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БГУИР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