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864"/>
          <w:sz w:val="56"/>
        </w:rPr>
        <w:t>Sustainability Report</w:t>
      </w:r>
    </w:p>
    <w:p>
      <w:pPr>
        <w:jc w:val="center"/>
      </w:pPr>
      <w:r>
        <w:rPr>
          <w:rFonts w:ascii="Calibri" w:hAnsi="Calibri"/>
          <w:color w:val="2E86AB"/>
          <w:sz w:val="32"/>
        </w:rPr>
        <w:t>Vantage Financial Services | 2024</w:t>
      </w:r>
    </w:p>
    <w:p>
      <w:pPr>
        <w:jc w:val="center"/>
      </w:pPr>
      <w:r>
        <w:rPr>
          <w:rFonts w:ascii="Calibri" w:hAnsi="Calibri"/>
          <w:color w:val="808080"/>
          <w:sz w:val="22"/>
        </w:rPr>
      </w:r>
    </w:p>
    <w:p/>
    <w:p/>
    <w:p/>
    <w:p/>
    <w:p>
      <w:pPr>
        <w:jc w:val="center"/>
      </w:pPr>
      <w:r>
        <w:rPr>
          <w:color w:val="808080"/>
          <w:sz w:val="18"/>
        </w:rPr>
        <w:t>Prepared by: ASPIRE</w:t>
      </w:r>
    </w:p>
    <w:p>
      <w:pPr>
        <w:jc w:val="center"/>
      </w:pPr>
      <w:r>
        <w:rPr>
          <w:color w:val="808080"/>
          <w:sz w:val="18"/>
        </w:rPr>
        <w:t>Generated: 16 May 2026</w:t>
      </w:r>
    </w:p>
    <w:p/>
    <w:p/>
    <w:p>
      <w:pPr>
        <w:jc w:val="center"/>
      </w:pPr>
      <w:r>
        <w:rPr>
          <w:b/>
          <w:color w:val="C00000"/>
          <w:sz w:val="18"/>
        </w:rPr>
        <w:t>AI-ASSISTED DRAFT — FOR INTERNAL REVIEW ONLY</w:t>
        <w:br/>
        <w:t>All figures must be verified against source data before external publication.</w:t>
      </w:r>
    </w:p>
    <w:p>
      <w:r>
        <w:br w:type="page"/>
      </w:r>
    </w:p>
    <w:p>
      <w:pPr>
        <w:pStyle w:val="Heading1"/>
      </w:pPr>
      <w:r>
        <w:rPr>
          <w:color w:val="1F3864"/>
        </w:rPr>
        <w:t>About This Report</w:t>
      </w:r>
    </w:p>
    <w:p>
      <w:r>
        <w:rPr>
          <w:sz w:val="22"/>
        </w:rPr>
        <w:t>This sustainability report for Vantage Financial Services covers the reporting period ending 2024. It has been prepared in alignment with the Global Reporting Initiative (GRI) Standards and the Task Force on Climate-related Financial Disclosures (TCFD) recommendations.</w:t>
        <w:br/>
        <w:br/>
        <w:t>Report content was generated using a large language model (LLM) pipeline and automatically validated against source data to minimise numerical inaccuracies. A validation summary is included as an appendix. All figures should be independently verified before external publication.</w:t>
      </w:r>
    </w:p>
    <w:p>
      <w:r>
        <w:br w:type="page"/>
      </w:r>
    </w:p>
    <w:p>
      <w:pPr>
        <w:pStyle w:val="Heading1"/>
      </w:pPr>
      <w:r>
        <w:rPr>
          <w:color w:val="1F3864"/>
          <w:sz w:val="32"/>
        </w:rPr>
        <w:t>Company Overview &amp; Reporting Scope</w:t>
      </w:r>
    </w:p>
    <w:p>
      <w:r>
        <w:rPr>
          <w:i/>
          <w:color w:val="2E86AB"/>
          <w:sz w:val="18"/>
        </w:rPr>
        <w:t>GRI: GRI 2-1 | TCFD: Governance</w:t>
      </w:r>
    </w:p>
    <w:p>
      <w:pPr>
        <w:spacing w:after="160"/>
      </w:pPr>
      <w:r>
        <w:rPr>
          <w:rFonts w:ascii="Calibri" w:hAnsi="Calibri"/>
          <w:sz w:val="22"/>
        </w:rPr>
        <w:t>Vantage Financial Services is a financial services company operating in India, with a total of 1,850 employees as of the reporting year 2024. The company is part of the financial services industry, which plays a vital role in the country's economy. As a responsible corporate citizen, Vantage Financial Services is committed to transparency and accountability in its operations and sustainability performance.</w:t>
      </w:r>
    </w:p>
    <w:p>
      <w:pPr>
        <w:spacing w:after="160"/>
      </w:pPr>
      <w:r>
        <w:rPr>
          <w:rFonts w:ascii="Calibri" w:hAnsi="Calibri"/>
          <w:sz w:val="22"/>
        </w:rPr>
        <w:t>This sustainability report covers the company's activities and performance for the reporting year 2024. The report's scope and boundaries are focused on the company's operations in India, where it is headquartered. The company's geographic presence is currently limited to India, and this report reflects the company's sustainability performance within this context.</w:t>
      </w:r>
    </w:p>
    <w:p>
      <w:pPr>
        <w:spacing w:after="160"/>
      </w:pPr>
      <w:r>
        <w:rPr>
          <w:rFonts w:ascii="Calibri" w:hAnsi="Calibri"/>
          <w:sz w:val="22"/>
        </w:rPr>
        <w:t>In terms of reporting, Vantage Financial Services is committed to providing stakeholders with accurate and reliable information about its sustainability performance. However, certain metrics, such as annual revenue in USD and the number of sites, are not available for this reporting period. These metrics will be developed and disclosed in future reporting periods, providing a more comprehensive picture of the company's operations and sustainability performance.</w:t>
      </w:r>
    </w:p>
    <w:p>
      <w:pPr>
        <w:spacing w:after="160"/>
      </w:pPr>
      <w:r>
        <w:rPr>
          <w:rFonts w:ascii="Calibri" w:hAnsi="Calibri"/>
          <w:sz w:val="22"/>
        </w:rPr>
        <w:t>As a financial services company, Vantage Financial Services recognizes the importance of governance and transparency in its operations. The company is committed to upholding the highest standards of governance and risk management, ensuring that its operations are aligned with the interests of its stakeholders. The company's sustainability report is guided by the principles of transparency, accountability, and continuous improvement, and is intended to provide stakeholders with a clear understanding of its sustainability performance and progress. Vantage Financial Services will continue to refine its sustainability reporting and disclosure practices in the 2025 reporting period.</w:t>
      </w:r>
    </w:p>
    <w:p/>
    <w:p>
      <w:pPr>
        <w:pStyle w:val="Heading1"/>
      </w:pPr>
      <w:r>
        <w:rPr>
          <w:color w:val="1F3864"/>
          <w:sz w:val="32"/>
        </w:rPr>
        <w:t>Governance &amp; Sustainability Leadership</w:t>
      </w:r>
    </w:p>
    <w:p>
      <w:r>
        <w:rPr>
          <w:i/>
          <w:color w:val="2E86AB"/>
          <w:sz w:val="18"/>
        </w:rPr>
        <w:t>GRI: GRI 2-9 / GRI 2-12 | TCFD: Governance</w:t>
      </w:r>
    </w:p>
    <w:p>
      <w:pPr>
        <w:spacing w:after="160"/>
      </w:pPr>
      <w:r>
        <w:rPr>
          <w:rFonts w:ascii="Calibri" w:hAnsi="Calibri"/>
          <w:sz w:val="22"/>
        </w:rPr>
        <w:t>Vantage Financial Services's board structure comprises 11 members, with 5 of these positions held by females. The board's composition reflects a strong presence of independent directors, who make up 73% of the total board membership. This governance framework provides a foundation for effective oversight of the company's sustainability performance.</w:t>
      </w:r>
    </w:p>
    <w:p>
      <w:pPr>
        <w:spacing w:after="160"/>
      </w:pPr>
      <w:r>
        <w:rPr>
          <w:rFonts w:ascii="Calibri" w:hAnsi="Calibri"/>
          <w:sz w:val="22"/>
        </w:rPr>
        <w:t>The company has established mechanisms to ensure executive accountability for ESG performance, with the board playing a critical role in guiding sustainability strategy and monitoring progress. The CEO pay ratio, which stands at 42, is a key metric that reflects the company's approach to executive compensation.</w:t>
      </w:r>
    </w:p>
    <w:p>
      <w:pPr>
        <w:spacing w:after="160"/>
      </w:pPr>
      <w:r>
        <w:rPr>
          <w:rFonts w:ascii="Calibri" w:hAnsi="Calibri"/>
          <w:sz w:val="22"/>
        </w:rPr>
        <w:t>In terms of governance practices, Vantage Financial Services has implemented robust training programs to prevent corruption, with 100% of relevant staff having undergone anti-corruption training. The company also conducts regular audits of its suppliers, with 28 audits conducted in the reporting period. Furthermore, a significant proportion of the company's suppliers, at 91%, have adopted a code of conduct, demonstrating the company's commitment to promoting responsible business practices throughout its supply chain.</w:t>
      </w:r>
    </w:p>
    <w:p>
      <w:pPr>
        <w:spacing w:after="160"/>
      </w:pPr>
      <w:r>
        <w:rPr>
          <w:rFonts w:ascii="Calibri" w:hAnsi="Calibri"/>
          <w:sz w:val="22"/>
        </w:rPr>
        <w:t>The company's governance framework and sustainability leadership are essential components of its approach to managing ESG risks and opportunities. While the company has made progress in establishing a strong governance foundation, there may be areas where additional data and metrics could provide further insight into its sustainability performance. The company will continue to develop and disclose relevant metrics in future reporting periods. Vantage Financial Services will conduct a comprehensive review of its ESG metrics and reporting framework in 2025 to identify opportunities for enhancement and improvement.</w:t>
      </w:r>
    </w:p>
    <w:p/>
    <w:p>
      <w:pPr>
        <w:pStyle w:val="Heading1"/>
      </w:pPr>
      <w:r>
        <w:rPr>
          <w:color w:val="1F3864"/>
          <w:sz w:val="32"/>
        </w:rPr>
        <w:t>Climate Strategy &amp; Risk Management</w:t>
      </w:r>
    </w:p>
    <w:p>
      <w:r>
        <w:rPr>
          <w:i/>
          <w:color w:val="2E86AB"/>
          <w:sz w:val="18"/>
        </w:rPr>
        <w:t>GRI: GRI 201-2 | TCFD: Strategy</w:t>
      </w:r>
    </w:p>
    <w:p>
      <w:pPr>
        <w:spacing w:after="160"/>
      </w:pPr>
      <w:r>
        <w:rPr>
          <w:rFonts w:ascii="Calibri" w:hAnsi="Calibri"/>
          <w:sz w:val="22"/>
        </w:rPr>
        <w:t>Vantage Financial Services acknowledges the importance of addressing climate-related risks and opportunities in its operations. In the reporting year 2024, the company's Scope 1 emissions totalled 1,200 tonnes CO2 equivalent, while Scope 2 emissions were 9,800 tonnes CO2 equivalent. The majority of the company's emissions, however, stem from Scope 3, which accounted for 198,000 tonnes CO2 equivalent. The company's energy consumption for the year was 28,400 MWh, with 61% of its total energy being sourced from renewable sources.</w:t>
      </w:r>
    </w:p>
    <w:p>
      <w:pPr>
        <w:spacing w:after="160"/>
      </w:pPr>
      <w:r>
        <w:rPr>
          <w:rFonts w:ascii="Calibri" w:hAnsi="Calibri"/>
          <w:sz w:val="22"/>
        </w:rPr>
        <w:t>The company's climate strategy is focused on reducing its environmental footprint, and the use of renewable energy is a key component of this approach. However, Vantage Financial Services has not yet set formal climate targets, which is an area that requires attention and prioritization. Establishing clear, measurable objectives would enable the company to better manage its physical and transition climate risks, as recommended by the TCFD framework.</w:t>
      </w:r>
    </w:p>
    <w:p>
      <w:pPr>
        <w:spacing w:after="160"/>
      </w:pPr>
      <w:r>
        <w:rPr>
          <w:rFonts w:ascii="Calibri" w:hAnsi="Calibri"/>
          <w:sz w:val="22"/>
        </w:rPr>
        <w:t>In terms of risk management, the company recognizes the need to identify and mitigate potential climate-related risks. While the company has made progress in reducing its reliance on non-renewable energy sources, it must continue to monitor and address the potential impacts of climate change on its operations and supply chain. The company's high Scope 3 emissions highlight the need for a more comprehensive approach to managing climate risks and opportunities.</w:t>
      </w:r>
    </w:p>
    <w:p>
      <w:pPr>
        <w:spacing w:after="160"/>
      </w:pPr>
      <w:r>
        <w:rPr>
          <w:rFonts w:ascii="Calibri" w:hAnsi="Calibri"/>
          <w:sz w:val="22"/>
        </w:rPr>
        <w:t>As Vantage Financial Services moves forward, it will prioritize the development of formal climate targets, which will be disclosed in future reporting periods. The company will build on its existing efforts to increase its use of renewable energy and reduce its greenhouse gas emissions, with a focus on implementing effective climate risk management strategies. In the next reporting cycle, Vantage Financial Services will conduct a comprehensive review of its climate-related risks and opportunities, and develop a roadmap for establishing science-based climate targets.</w:t>
      </w:r>
    </w:p>
    <w:p/>
    <w:p>
      <w:pPr>
        <w:pStyle w:val="Heading1"/>
      </w:pPr>
      <w:r>
        <w:rPr>
          <w:color w:val="1F3864"/>
          <w:sz w:val="32"/>
        </w:rPr>
        <w:t>Energy Consumption &amp; Efficiency</w:t>
      </w:r>
    </w:p>
    <w:p>
      <w:r>
        <w:rPr>
          <w:i/>
          <w:color w:val="2E86AB"/>
          <w:sz w:val="18"/>
        </w:rPr>
        <w:t>GRI: GRI 302-1 / GRI 302-4 | TCFD: Metrics &amp; Targets</w:t>
      </w:r>
    </w:p>
    <w:p>
      <w:pPr>
        <w:spacing w:after="160"/>
      </w:pPr>
      <w:r>
        <w:rPr>
          <w:rFonts w:ascii="Calibri" w:hAnsi="Calibri"/>
          <w:sz w:val="22"/>
        </w:rPr>
        <w:t>Vantage Financial Services's energy consumption for the reporting year 2024 totaled 28,400 MWh. The company's renewable energy share accounted for 61% of its total energy consumption. This percentage indicates that a significant portion of the company's energy needs are being met through renewable sources.</w:t>
      </w:r>
    </w:p>
    <w:p>
      <w:pPr>
        <w:spacing w:after="160"/>
      </w:pPr>
      <w:r>
        <w:rPr>
          <w:rFonts w:ascii="Calibri" w:hAnsi="Calibri"/>
          <w:sz w:val="22"/>
        </w:rPr>
        <w:t>As this is the first year of reporting, no year-on-year trend data is available for comparison. The company recognizes the importance of tracking energy consumption and renewable energy share over time to identify areas for improvement and measure progress.</w:t>
      </w:r>
    </w:p>
    <w:p>
      <w:pPr>
        <w:spacing w:after="160"/>
      </w:pPr>
      <w:r>
        <w:rPr>
          <w:rFonts w:ascii="Calibri" w:hAnsi="Calibri"/>
          <w:sz w:val="22"/>
        </w:rPr>
        <w:t>In terms of energy efficiency initiatives, the company is committed to reducing its environmental impact. However, specific data on energy intensity per revenue and energy reduction versus baseline percentage is not available for this reporting period. These metrics will be developed and disclosed in future reporting periods, providing a more comprehensive understanding of the company's energy efficiency performance. Additionally, data on onsite solar MWh and grid electricity MWh is not currently available, but will be included in future reports to provide a more detailed breakdown of the company's energy consumption.</w:t>
      </w:r>
    </w:p>
    <w:p>
      <w:pPr>
        <w:spacing w:after="160"/>
      </w:pPr>
      <w:r>
        <w:rPr>
          <w:rFonts w:ascii="Calibri" w:hAnsi="Calibri"/>
          <w:sz w:val="22"/>
        </w:rPr>
        <w:t>The company's renewable energy share of 61% is a notable aspect of its energy consumption profile. While the company acknowledges that there is still room for improvement, this percentage demonstrates a significant commitment to renewable energy sources. Vantage Financial Services will continue to monitor and report on its energy consumption and renewable energy share in future reporting periods. The company will prioritize the development of additional energy-related metrics, including energy intensity per revenue and energy reduction versus baseline percentage, for inclusion in its next sustainability report.</w:t>
      </w:r>
    </w:p>
    <w:p/>
    <w:p>
      <w:pPr>
        <w:pStyle w:val="Heading1"/>
      </w:pPr>
      <w:r>
        <w:rPr>
          <w:color w:val="1F3864"/>
          <w:sz w:val="32"/>
        </w:rPr>
        <w:t>Greenhouse Gas Emissions</w:t>
      </w:r>
    </w:p>
    <w:p>
      <w:r>
        <w:rPr>
          <w:i/>
          <w:color w:val="2E86AB"/>
          <w:sz w:val="18"/>
        </w:rPr>
        <w:t>GRI: GRI 305-1 / GRI 305-2 / GRI 305-3 | TCFD: Metrics &amp; Targets</w:t>
      </w:r>
    </w:p>
    <w:p>
      <w:pPr>
        <w:spacing w:after="160"/>
      </w:pPr>
      <w:r>
        <w:rPr>
          <w:rFonts w:ascii="Calibri" w:hAnsi="Calibri"/>
          <w:sz w:val="22"/>
        </w:rPr>
        <w:t>Vantage Financial Services's greenhouse gas emissions for the reporting year 2024 have been calculated in accordance with the GHG Protocol structure. The company's Scope 1 emissions, which include direct emissions from owned or controlled sources, totalled 1,200 tonnes CO2 equivalent. Scope 2 emissions, which comprise indirect emissions from the generation of purchased energy, were 9,800 tonnes CO2 equivalent. The majority of the company's emissions fall under Scope 3, which encompasses all other indirect emissions, with a total of 198,000 tonnes CO2 equivalent.</w:t>
      </w:r>
    </w:p>
    <w:p>
      <w:pPr>
        <w:spacing w:after="160"/>
      </w:pPr>
      <w:r>
        <w:rPr>
          <w:rFonts w:ascii="Calibri" w:hAnsi="Calibri"/>
          <w:sz w:val="22"/>
        </w:rPr>
        <w:t>The company's greenhouse gas emissions have been reported for Scopes 1, 2, and 3, providing a comprehensive overview of its emissions footprint. However, certain metrics, such as emissions intensity per revenue and year-over-year emissions change percentage, are not available for this reporting period. These metrics will be developed and included in future reports to provide a more detailed analysis of the company's emissions performance.</w:t>
      </w:r>
    </w:p>
    <w:p>
      <w:pPr>
        <w:spacing w:after="160"/>
      </w:pPr>
      <w:r>
        <w:rPr>
          <w:rFonts w:ascii="Calibri" w:hAnsi="Calibri"/>
          <w:sz w:val="22"/>
        </w:rPr>
        <w:t>The methodology used to calculate the company's greenhouse gas emissions is based on the GHG Protocol, which provides a widely accepted framework for emissions reporting. However, the specific methodology details are not available for this reporting period and will be disclosed in future reports. Additionally, the company does not have a carbon offset total available for this reporting period, but this information will be included in future reports.</w:t>
      </w:r>
    </w:p>
    <w:p>
      <w:pPr>
        <w:spacing w:after="160"/>
      </w:pPr>
      <w:r>
        <w:rPr>
          <w:rFonts w:ascii="Calibri" w:hAnsi="Calibri"/>
          <w:sz w:val="22"/>
        </w:rPr>
        <w:t>As Vantage Financial Services continues to monitor and report its greenhouse gas emissions, it will focus on developing intensity metrics and tracking progress against reduction targets. The company will build on the data reported for 2024, which includes Scope 1, 2, and 3 emissions totals, to inform its sustainability strategy and reduce its environmental impact. In the next reporting period, Vantage Financial Services will prioritize the development of emissions intensity metrics to better understand its emissions performance.</w:t>
      </w:r>
    </w:p>
    <w:p/>
    <w:p>
      <w:pPr>
        <w:pStyle w:val="Heading1"/>
      </w:pPr>
      <w:r>
        <w:rPr>
          <w:color w:val="1F3864"/>
          <w:sz w:val="32"/>
        </w:rPr>
        <w:t>Water Stewardship</w:t>
      </w:r>
    </w:p>
    <w:p>
      <w:r>
        <w:rPr>
          <w:i/>
          <w:color w:val="2E86AB"/>
          <w:sz w:val="18"/>
        </w:rPr>
        <w:t>GRI: GRI 303-1 / GRI 303-3</w:t>
      </w:r>
    </w:p>
    <w:p>
      <w:pPr>
        <w:spacing w:after="160"/>
      </w:pPr>
      <w:r>
        <w:rPr>
          <w:rFonts w:ascii="Calibri" w:hAnsi="Calibri"/>
          <w:sz w:val="22"/>
        </w:rPr>
        <w:t>Vantage Financial Services acknowledges the importance of responsible water management in its operations. In 2024, the company withdrew 84,000 cubic metres of water to support its activities. However, it is notable that the water recycling rate was 0%, indicating that none of the withdrawn water was recycled. This highlights an area for improvement in the company's water stewardship efforts.</w:t>
      </w:r>
    </w:p>
    <w:p>
      <w:pPr>
        <w:spacing w:after="160"/>
      </w:pPr>
      <w:r>
        <w:rPr>
          <w:rFonts w:ascii="Calibri" w:hAnsi="Calibri"/>
          <w:sz w:val="22"/>
        </w:rPr>
        <w:t>The company recognises the need to adopt more sustainable water practices, particularly in water-stressed areas. However, data on sites located in water-stressed areas is not available for this reporting period. Similarly, information on water intensity per revenue and water reduction targets is not currently available. These metrics will be developed and disclosed in future reporting periods to provide a more comprehensive understanding of the company's water management performance.</w:t>
      </w:r>
    </w:p>
    <w:p>
      <w:pPr>
        <w:spacing w:after="160"/>
      </w:pPr>
      <w:r>
        <w:rPr>
          <w:rFonts w:ascii="Calibri" w:hAnsi="Calibri"/>
          <w:sz w:val="22"/>
        </w:rPr>
        <w:t>Given the lack of data on water stress, the company recommends conducting a water stress assessment as a next step. This would enable Vantage Financial Services to better understand the water-related risks and opportunities associated with its operations and make informed decisions to mitigate any negative impacts. By prioritising water stewardship, the company can reduce its environmental footprint and contribute to a more sustainable future.</w:t>
      </w:r>
    </w:p>
    <w:p>
      <w:pPr>
        <w:spacing w:after="160"/>
      </w:pPr>
      <w:r>
        <w:rPr>
          <w:rFonts w:ascii="Calibri" w:hAnsi="Calibri"/>
          <w:sz w:val="22"/>
        </w:rPr>
        <w:t>As the company moves forward, it will focus on improving its water management practices and exploring opportunities to reduce its water withdrawal and increase recycling rates. The company will continue to monitor and report on its water performance, with the goal of implementing more effective water stewardship programmes in the future. Next year, Vantage Financial Services will conduct a thorough review of its water management practices to identify areas for improvement and develop strategies to enhance its water recycling capabilities.</w:t>
      </w:r>
    </w:p>
    <w:p/>
    <w:p>
      <w:pPr>
        <w:pStyle w:val="Heading1"/>
      </w:pPr>
      <w:r>
        <w:rPr>
          <w:color w:val="1F3864"/>
          <w:sz w:val="32"/>
        </w:rPr>
        <w:t>Waste Management &amp; Circular Economy</w:t>
      </w:r>
    </w:p>
    <w:p>
      <w:r>
        <w:rPr>
          <w:i/>
          <w:color w:val="2E86AB"/>
          <w:sz w:val="18"/>
        </w:rPr>
        <w:t>GRI: GRI 306-2 / GRI 306-3</w:t>
      </w:r>
    </w:p>
    <w:p>
      <w:pPr>
        <w:spacing w:after="160"/>
      </w:pPr>
      <w:r>
        <w:rPr>
          <w:rFonts w:ascii="Calibri" w:hAnsi="Calibri"/>
          <w:sz w:val="22"/>
        </w:rPr>
        <w:t>Vantage Financial Services generated a total of 310 tonnes of waste in the reporting period. The company achieved a recycling rate of 82%, indicating a significant proportion of its waste was managed through recycling channels. Notably, the company did not generate any hazardous waste, with a recorded total of 0 tonnes of hazardous waste.</w:t>
      </w:r>
    </w:p>
    <w:p>
      <w:pPr>
        <w:spacing w:after="160"/>
      </w:pPr>
      <w:r>
        <w:rPr>
          <w:rFonts w:ascii="Calibri" w:hAnsi="Calibri"/>
          <w:sz w:val="22"/>
        </w:rPr>
        <w:t>The recycling rate of 82% suggests that the company has implemented effective waste management practices, prioritizing the recycling of materials where possible. However, certain metrics, such as the amount of waste sent to landfill, are not available for this reporting period. The diversion rate, which would provide further insight into the company's waste management performance, is also not available. These metrics will be developed and disclosed in future reporting periods, providing a more comprehensive understanding of the company's waste management practices.</w:t>
      </w:r>
    </w:p>
    <w:p>
      <w:pPr>
        <w:spacing w:after="160"/>
      </w:pPr>
      <w:r>
        <w:rPr>
          <w:rFonts w:ascii="Calibri" w:hAnsi="Calibri"/>
          <w:sz w:val="22"/>
        </w:rPr>
        <w:t>Regarding circular economy initiatives, the company's efforts in this area are currently nascent and unquantified. As such, it is not possible to report on the specific initiatives or their impact at this time. The company recognizes the importance of adopting circular economy principles and will continue to explore opportunities to integrate these into its operations.</w:t>
      </w:r>
    </w:p>
    <w:p>
      <w:pPr>
        <w:spacing w:after="160"/>
      </w:pPr>
      <w:r>
        <w:rPr>
          <w:rFonts w:ascii="Calibri" w:hAnsi="Calibri"/>
          <w:sz w:val="22"/>
        </w:rPr>
        <w:t>The company's waste management practices are a critical component of its sustainability strategy, and it will continue to prioritize the reduction and responsible management of waste. As the company progresses in its sustainability journey, it will focus on developing and implementing more comprehensive waste management and circular economy initiatives. The company will continue to monitor and report on its waste generation and management practices, with the goal of providing more detailed and comprehensive information in future reports. The company will prioritize the development of its waste management metrics and circular economy initiatives in the next reporting period.</w:t>
      </w:r>
    </w:p>
    <w:p/>
    <w:p>
      <w:pPr>
        <w:pStyle w:val="Heading1"/>
      </w:pPr>
      <w:r>
        <w:rPr>
          <w:color w:val="1F3864"/>
          <w:sz w:val="32"/>
        </w:rPr>
        <w:t>Workforce &amp; Human Capital</w:t>
      </w:r>
    </w:p>
    <w:p>
      <w:r>
        <w:rPr>
          <w:i/>
          <w:color w:val="2E86AB"/>
          <w:sz w:val="18"/>
        </w:rPr>
        <w:t>GRI: GRI 2-7 / GRI 401-1 / GRI 405-1</w:t>
      </w:r>
    </w:p>
    <w:p>
      <w:pPr>
        <w:spacing w:after="160"/>
      </w:pPr>
      <w:r>
        <w:rPr>
          <w:rFonts w:ascii="Calibri" w:hAnsi="Calibri"/>
          <w:sz w:val="22"/>
        </w:rPr>
        <w:t>Vantage Financial Services's workforce composition is a critical aspect of its sustainability performance. As of the reporting period, the company employs a total of 1,850 people. In terms of gender diversity, 47% of the total workforce is female, indicating a relatively balanced representation of women in the organization.</w:t>
      </w:r>
    </w:p>
    <w:p>
      <w:pPr>
        <w:spacing w:after="160"/>
      </w:pPr>
      <w:r>
        <w:rPr>
          <w:rFonts w:ascii="Calibri" w:hAnsi="Calibri"/>
          <w:sz w:val="22"/>
        </w:rPr>
        <w:t>The company's employee turnover rate stands at 16.2% annually, which is a challenge that Vantage Financial Services acknowledges as a retention issue. This level of turnover may impact the organization's ability to maintain institutional knowledge and consistency in its operations. To address this, the company will need to focus on strategies to improve employee engagement and retention.</w:t>
      </w:r>
    </w:p>
    <w:p>
      <w:pPr>
        <w:spacing w:after="160"/>
      </w:pPr>
      <w:r>
        <w:rPr>
          <w:rFonts w:ascii="Calibri" w:hAnsi="Calibri"/>
          <w:sz w:val="22"/>
        </w:rPr>
        <w:t>In terms of hiring trends, Vantage Financial Services has added 210 new employees during the reporting period, contributing to the growth and development of its workforce. The company also invests in the development of its human capital, providing an average of 42 training hours per employee per year. This investment in employee training is essential for enhancing skills and knowledge, which can lead to improved job performance and career advancement opportunities.</w:t>
      </w:r>
    </w:p>
    <w:p>
      <w:pPr>
        <w:spacing w:after="160"/>
      </w:pPr>
      <w:r>
        <w:rPr>
          <w:rFonts w:ascii="Calibri" w:hAnsi="Calibri"/>
          <w:sz w:val="22"/>
        </w:rPr>
        <w:t>It is noted that certain metrics, such as the number of part-time employees and union membership percentage, are not available for this reporting period. These metrics will be developed and disclosed in future reports, providing a more comprehensive understanding of the company's workforce composition and diversity.</w:t>
      </w:r>
    </w:p>
    <w:p>
      <w:pPr>
        <w:spacing w:after="160"/>
      </w:pPr>
      <w:r>
        <w:rPr>
          <w:rFonts w:ascii="Calibri" w:hAnsi="Calibri"/>
          <w:sz w:val="22"/>
        </w:rPr>
        <w:t>As Vantage Financial Services looks to the future, it will continue to focus on developing its workforce and addressing the retention challenges it faces, with the goal of maintaining a skilled and engaged workforce that can support the company's long-term sustainability objectives, and it will prioritize the development of strategies to reduce its employee turnover rate to below 16.2% in the next reporting period.</w:t>
      </w:r>
    </w:p>
    <w:p/>
    <w:p>
      <w:pPr>
        <w:pStyle w:val="Heading1"/>
      </w:pPr>
      <w:r>
        <w:rPr>
          <w:color w:val="1F3864"/>
          <w:sz w:val="32"/>
        </w:rPr>
        <w:t>Occupational Health &amp; Safety</w:t>
      </w:r>
    </w:p>
    <w:p>
      <w:r>
        <w:rPr>
          <w:i/>
          <w:color w:val="2E86AB"/>
          <w:sz w:val="18"/>
        </w:rPr>
        <w:t>GRI: GRI 403-2 / GRI 403-9</w:t>
      </w:r>
    </w:p>
    <w:p>
      <w:pPr>
        <w:spacing w:after="160"/>
      </w:pPr>
      <w:r>
        <w:rPr>
          <w:rFonts w:ascii="Calibri" w:hAnsi="Calibri"/>
          <w:sz w:val="22"/>
        </w:rPr>
        <w:t>Vantage Financial Services prioritizes the occupational health and safety of its employees, recognizing the importance of a safe working environment. In 2024, the company reported 1 work-related injury, which is a recordable injury. Fortunately, there were 0 fatalities, indicating a strong commitment to safeguarding the well-being of employees. The company acknowledges the significance of transparency in reporting safety data and is committed to maintaining a high level of disclosure.</w:t>
      </w:r>
    </w:p>
    <w:p>
      <w:pPr>
        <w:spacing w:after="160"/>
      </w:pPr>
      <w:r>
        <w:rPr>
          <w:rFonts w:ascii="Calibri" w:hAnsi="Calibri"/>
          <w:sz w:val="22"/>
        </w:rPr>
        <w:t>The safety management system at Vantage Financial Services is designed to identify and mitigate potential hazards, ensuring a safe working environment for all employees. While the company strives for continuous improvement, it also recognizes the importance of providing employees with the necessary training to perform their duties safely. In 2024, the company provided an average of 42 training hours per employee per year, demonstrating its commitment to employee development and safety.</w:t>
      </w:r>
    </w:p>
    <w:p>
      <w:pPr>
        <w:spacing w:after="160"/>
      </w:pPr>
      <w:r>
        <w:rPr>
          <w:rFonts w:ascii="Calibri" w:hAnsi="Calibri"/>
          <w:sz w:val="22"/>
        </w:rPr>
        <w:t>Certain optional safety metrics, including lost time injury frequency rate, near miss incidents, and occupational illness rate, are not available for this reporting period. These metrics will be developed and disclosed in future reports, providing a more comprehensive overview of the company's safety performance.</w:t>
      </w:r>
    </w:p>
    <w:p>
      <w:pPr>
        <w:spacing w:after="160"/>
      </w:pPr>
      <w:r>
        <w:rPr>
          <w:rFonts w:ascii="Calibri" w:hAnsi="Calibri"/>
          <w:sz w:val="22"/>
        </w:rPr>
        <w:t>The company's safety performance data indicates a focus on preventing injuries and ensuring a safe working environment. The absence of fatalities and the low number of recordable injuries demonstrate the effectiveness of the company's safety management system. As Vantage Financial Services continues to prioritize occupational health and safety, it will build on the progress made in 2024, with a focus on maintaining a strong safety record. The company will continue to provide regular training to its employees, with at least 42 training hours per employee per year, to ensure a safe and healthy work environment.</w:t>
      </w:r>
    </w:p>
    <w:p/>
    <w:p>
      <w:pPr>
        <w:pStyle w:val="Heading1"/>
      </w:pPr>
      <w:r>
        <w:rPr>
          <w:color w:val="1F3864"/>
          <w:sz w:val="32"/>
        </w:rPr>
        <w:t>Diversity, Equity &amp; Inclusion</w:t>
      </w:r>
    </w:p>
    <w:p>
      <w:r>
        <w:rPr>
          <w:i/>
          <w:color w:val="2E86AB"/>
          <w:sz w:val="18"/>
        </w:rPr>
        <w:t>GRI: GRI 405-1 / GRI 406-1</w:t>
      </w:r>
    </w:p>
    <w:p>
      <w:pPr>
        <w:spacing w:after="160"/>
      </w:pPr>
      <w:r>
        <w:rPr>
          <w:rFonts w:ascii="Calibri" w:hAnsi="Calibri"/>
          <w:sz w:val="22"/>
        </w:rPr>
        <w:t>Vantage Financial Services acknowledges the importance of diversity, equity, and inclusion in the workplace, recognizing that a diverse workforce is essential for driving innovation and long-term success. In terms of gender diversity, the company reports that 47% of its total workforce is female, while 53% is male. At the board level, there are 5 female board members.</w:t>
      </w:r>
    </w:p>
    <w:p>
      <w:pPr>
        <w:spacing w:after="160"/>
      </w:pPr>
      <w:r>
        <w:rPr>
          <w:rFonts w:ascii="Calibri" w:hAnsi="Calibri"/>
          <w:sz w:val="22"/>
        </w:rPr>
        <w:t>The company recognizes that there are gaps between its current state and best practice in diversity, equity, and inclusion. While the percentage of female employees is notable, the company acknowledges that there is still more work to be done to achieve greater diversity and inclusion across all levels of the organization.</w:t>
      </w:r>
    </w:p>
    <w:p>
      <w:pPr>
        <w:spacing w:after="160"/>
      </w:pPr>
      <w:r>
        <w:rPr>
          <w:rFonts w:ascii="Calibri" w:hAnsi="Calibri"/>
          <w:sz w:val="22"/>
        </w:rPr>
        <w:t>In terms of pay equity and anti-discrimination measures, the company notes that certain data points are not available for this reporting period. Specifically, data on the percentage of female senior managers, ethnically diverse employees, pay gap percentage, discrimination incidents, and DEI programmes are not currently available. The company intends to develop and disclose these metrics in future reporting periods, providing a more comprehensive picture of its diversity, equity, and inclusion performance.</w:t>
      </w:r>
    </w:p>
    <w:p>
      <w:pPr>
        <w:spacing w:after="160"/>
      </w:pPr>
      <w:r>
        <w:rPr>
          <w:rFonts w:ascii="Calibri" w:hAnsi="Calibri"/>
          <w:sz w:val="22"/>
        </w:rPr>
        <w:t>Vantage Financial Services is committed to transparency and accountability in its diversity, equity, and inclusion reporting. The company will continue to work towards improving its diversity and inclusion metrics, recognizing the importance of creating a workplace culture that values and respects all employees. As the company moves forward, it will prioritize the development of a more comprehensive diversity, equity, and inclusion strategy, with the goal of publishing a more detailed analysis of its DEI performance in its next sustainability report.</w:t>
      </w:r>
    </w:p>
    <w:p/>
    <w:p>
      <w:pPr>
        <w:pStyle w:val="Heading1"/>
      </w:pPr>
      <w:r>
        <w:rPr>
          <w:color w:val="1F3864"/>
          <w:sz w:val="32"/>
        </w:rPr>
        <w:t>Community Investment &amp; Business Ethics</w:t>
      </w:r>
    </w:p>
    <w:p>
      <w:r>
        <w:rPr>
          <w:i/>
          <w:color w:val="2E86AB"/>
          <w:sz w:val="18"/>
        </w:rPr>
        <w:t>GRI: GRI 205-1 / GRI 413-1</w:t>
      </w:r>
    </w:p>
    <w:p>
      <w:pPr>
        <w:spacing w:after="160"/>
      </w:pPr>
      <w:r>
        <w:rPr>
          <w:rFonts w:ascii="Calibri" w:hAnsi="Calibri"/>
          <w:sz w:val="22"/>
        </w:rPr>
        <w:t>Vantage Financial Services demonstrates its commitment to responsible business practices through various initiatives. In terms of community investment, the company allocated USD 3,400,000 towards community programmes during the reporting period. This investment underscores the company's dedication to giving back to the community and supporting local development.</w:t>
      </w:r>
    </w:p>
    <w:p>
      <w:pPr>
        <w:spacing w:after="160"/>
      </w:pPr>
      <w:r>
        <w:rPr>
          <w:rFonts w:ascii="Calibri" w:hAnsi="Calibri"/>
          <w:sz w:val="22"/>
        </w:rPr>
        <w:t>The company also prioritizes supplier ESG due diligence, with 91% of its suppliers adhering to a code of conduct. This emphasis on responsible sourcing practices is further reinforced by the 28 supplier audits conducted during the reporting period. These audits enable the company to assess and mitigate potential ESG risks within its supply chain.</w:t>
      </w:r>
    </w:p>
    <w:p>
      <w:pPr>
        <w:spacing w:after="160"/>
      </w:pPr>
      <w:r>
        <w:rPr>
          <w:rFonts w:ascii="Calibri" w:hAnsi="Calibri"/>
          <w:sz w:val="22"/>
        </w:rPr>
        <w:t>In addition, Vantage Financial Services maintains a strong stance against corruption, with 100% of relevant staff having undergone anti-corruption training. This comprehensive training programme ensures that employees are equipped to identify and prevent corrupt practices.</w:t>
      </w:r>
    </w:p>
    <w:p>
      <w:pPr>
        <w:spacing w:after="160"/>
      </w:pPr>
      <w:r>
        <w:rPr>
          <w:rFonts w:ascii="Calibri" w:hAnsi="Calibri"/>
          <w:sz w:val="22"/>
        </w:rPr>
        <w:t>However, the company acknowledges that it experienced 1 data breach during the reporting period, as required to be disclosed under GRI 418-1. The company has taken remedial action to address this incident and is implementing measures to prevent such breaches from recurring in the future. The company recognizes the importance of data security and is committed to protecting sensitive information.</w:t>
      </w:r>
    </w:p>
    <w:p>
      <w:pPr>
        <w:spacing w:after="160"/>
      </w:pPr>
      <w:r>
        <w:rPr>
          <w:rFonts w:ascii="Calibri" w:hAnsi="Calibri"/>
          <w:sz w:val="22"/>
        </w:rPr>
        <w:t>Certain metrics, such as volunteer hours, corruption incidents, whistleblower cases, and human rights assessments, are not available for this reporting period. These metrics will be developed and disclosed in future reports, providing a more comprehensive overview of the company's sustainability performance. As Vantage Financial Services continues to enhance its sustainability reporting, it will prioritize transparency and accountability, with a focus on implementing enhanced data security measures to prevent future data breaches.</w:t>
      </w:r>
    </w:p>
    <w:p/>
    <w:p>
      <w:pPr>
        <w:pStyle w:val="Heading1"/>
      </w:pPr>
      <w:r>
        <w:rPr>
          <w:color w:val="1F3864"/>
          <w:sz w:val="32"/>
        </w:rPr>
        <w:t>Sustainability Targets &amp; Forward Outlook</w:t>
      </w:r>
    </w:p>
    <w:p>
      <w:r>
        <w:rPr>
          <w:i/>
          <w:color w:val="2E86AB"/>
          <w:sz w:val="18"/>
        </w:rPr>
        <w:t>GRI: GRI 2-29 / TCFD Metrics &amp; Targets | TCFD: Metrics &amp; Targets</w:t>
      </w:r>
    </w:p>
    <w:p>
      <w:pPr>
        <w:spacing w:after="160"/>
      </w:pPr>
      <w:r>
        <w:rPr>
          <w:rFonts w:ascii="Calibri" w:hAnsi="Calibri"/>
          <w:sz w:val="22"/>
        </w:rPr>
        <w:t>As of the reporting period, the company has not yet formalised quantitative sustainability targets. Establishing science-based targets is identified as a priority for the forthcoming period. In the absence of formal targets, Vantage Financial Services continues to monitor and report on its sustainability performance. The company's renewable energy usage accounts for 61% of its total energy consumption. This is a notable aspect of its sustainability profile, although it is not linked to a specific target at this time.</w:t>
      </w:r>
    </w:p>
    <w:p>
      <w:pPr>
        <w:spacing w:after="160"/>
      </w:pPr>
      <w:r>
        <w:rPr>
          <w:rFonts w:ascii="Calibri" w:hAnsi="Calibri"/>
          <w:sz w:val="22"/>
        </w:rPr>
        <w:t>In terms of greenhouse gas emissions, Vantage Financial Services reported Scope 1 emissions of 1,200 tonnes CO2 equivalent, Scope 2 emissions of 9,800 tonnes CO2 equivalent, and Scope 3 emissions of 198,000 tonnes CO2 equivalent for the reporting year 2024. These emissions figures provide a baseline for future sustainability efforts, but without established targets, it is challenging to assess progress towards specific goals.</w:t>
      </w:r>
    </w:p>
    <w:p>
      <w:pPr>
        <w:spacing w:after="160"/>
      </w:pPr>
      <w:r>
        <w:rPr>
          <w:rFonts w:ascii="Calibri" w:hAnsi="Calibri"/>
          <w:sz w:val="22"/>
        </w:rPr>
        <w:t>The company acknowledges the importance of setting science-based targets and is committed to developing these in the future. Additionally, other key sustainability metrics, such as net zero target year, renewable energy target percentage, water reduction target percentage, and waste diversion target percentage, will be developed and disclosed in future reporting periods. This will enable a more comprehensive understanding of Vantage Financial Services' sustainability strategy and progress.</w:t>
      </w:r>
    </w:p>
    <w:p>
      <w:pPr>
        <w:spacing w:after="160"/>
      </w:pPr>
      <w:r>
        <w:rPr>
          <w:rFonts w:ascii="Calibri" w:hAnsi="Calibri"/>
          <w:sz w:val="22"/>
        </w:rPr>
        <w:t>As the company moves forward, it will focus on establishing a robust sustainability framework, including the development of quantitative targets. Vantage Financial Services will continue to report on its sustainability performance, providing transparency and accountability to its stakeholders. In the next reporting period, the company will prioritise the development of science-based targets, laying the groundwork for a more targeted and effective sustainability strategy.</w:t>
      </w:r>
    </w:p>
    <w:p/>
    <w:p>
      <w:r>
        <w:br w:type="page"/>
      </w:r>
    </w:p>
    <w:p>
      <w:pPr>
        <w:pStyle w:val="Heading1"/>
      </w:pPr>
      <w:r>
        <w:rPr>
          <w:color w:val="1F3864"/>
        </w:rPr>
        <w:t>Appendix: Validation Summary</w:t>
      </w:r>
    </w:p>
    <w:p>
      <w:r>
        <w:rPr>
          <w:sz w:val="22"/>
        </w:rPr>
        <w:t>The table below summarises the automated validation check performed on all LLM-generated content. Each numeric value in the report was cross-checked against the source CSV data within a 5% tolerance threshold. Flagged values require human review before publication.</w:t>
      </w:r>
    </w:p>
    <w:p/>
    <w:tbl>
      <w:tblPr>
        <w:tblStyle w:val="TableGrid"/>
        <w:tblW w:type="auto" w:w="0"/>
        <w:tblLook w:firstColumn="1" w:firstRow="1" w:lastColumn="0" w:lastRow="0" w:noHBand="0" w:noVBand="1" w:val="04A0"/>
      </w:tblPr>
      <w:tblGrid>
        <w:gridCol w:w="2266"/>
        <w:gridCol w:w="2266"/>
        <w:gridCol w:w="2266"/>
        <w:gridCol w:w="2266"/>
      </w:tblGrid>
      <w:tr>
        <w:tc>
          <w:tcPr>
            <w:tcW w:type="dxa" w:w="2266"/>
            <w:shd w:fill="1F3864" w:color="FFFFFF" w:val="clear"/>
          </w:tcPr>
          <w:p>
            <w:r>
              <w:rPr>
                <w:b/>
                <w:color w:val="FFFFFF"/>
                <w:sz w:val="18"/>
              </w:rPr>
              <w:t>Section</w:t>
            </w:r>
          </w:p>
        </w:tc>
        <w:tc>
          <w:tcPr>
            <w:tcW w:type="dxa" w:w="2266"/>
            <w:shd w:fill="1F3864" w:color="FFFFFF" w:val="clear"/>
          </w:tcPr>
          <w:p>
            <w:r>
              <w:rPr>
                <w:b/>
                <w:color w:val="FFFFFF"/>
                <w:sz w:val="18"/>
              </w:rPr>
              <w:t>Numbers Checked</w:t>
            </w:r>
          </w:p>
        </w:tc>
        <w:tc>
          <w:tcPr>
            <w:tcW w:type="dxa" w:w="2266"/>
            <w:shd w:fill="1F3864" w:color="FFFFFF" w:val="clear"/>
          </w:tcPr>
          <w:p>
            <w:r>
              <w:rPr>
                <w:b/>
                <w:color w:val="FFFFFF"/>
                <w:sz w:val="18"/>
              </w:rPr>
              <w:t>Flags Raised</w:t>
            </w:r>
          </w:p>
        </w:tc>
        <w:tc>
          <w:tcPr>
            <w:tcW w:type="dxa" w:w="2266"/>
            <w:shd w:fill="1F3864" w:color="FFFFFF" w:val="clear"/>
          </w:tcPr>
          <w:p>
            <w:r>
              <w:rPr>
                <w:b/>
                <w:color w:val="FFFFFF"/>
                <w:sz w:val="18"/>
              </w:rPr>
              <w:t>Status</w:t>
            </w:r>
          </w:p>
        </w:tc>
      </w:tr>
      <w:tr>
        <w:tc>
          <w:tcPr>
            <w:tcW w:type="dxa" w:w="2266"/>
          </w:tcPr>
          <w:p>
            <w:r>
              <w:rPr>
                <w:sz w:val="18"/>
              </w:rPr>
              <w:t>Company Overview &amp; Reporting Scope</w:t>
            </w:r>
          </w:p>
        </w:tc>
        <w:tc>
          <w:tcPr>
            <w:tcW w:type="dxa" w:w="2266"/>
          </w:tcPr>
          <w:p>
            <w:r>
              <w:rPr>
                <w:sz w:val="18"/>
              </w:rPr>
              <w:t>1</w:t>
            </w:r>
          </w:p>
        </w:tc>
        <w:tc>
          <w:tcPr>
            <w:tcW w:type="dxa" w:w="2266"/>
          </w:tcPr>
          <w:p>
            <w:r>
              <w:rPr>
                <w:sz w:val="18"/>
              </w:rPr>
              <w:t>0</w:t>
            </w:r>
          </w:p>
        </w:tc>
        <w:tc>
          <w:tcPr>
            <w:tcW w:type="dxa" w:w="2266"/>
          </w:tcPr>
          <w:p>
            <w:r>
              <w:rPr>
                <w:sz w:val="18"/>
              </w:rPr>
              <w:t>PASS ✓</w:t>
            </w:r>
          </w:p>
        </w:tc>
      </w:tr>
      <w:tr>
        <w:tc>
          <w:tcPr>
            <w:tcW w:type="dxa" w:w="2266"/>
          </w:tcPr>
          <w:p>
            <w:r>
              <w:rPr>
                <w:sz w:val="18"/>
              </w:rPr>
              <w:t>Governance &amp; Sustainability Leadership</w:t>
            </w:r>
          </w:p>
        </w:tc>
        <w:tc>
          <w:tcPr>
            <w:tcW w:type="dxa" w:w="2266"/>
          </w:tcPr>
          <w:p>
            <w:r>
              <w:rPr>
                <w:sz w:val="18"/>
              </w:rPr>
              <w:t>5</w:t>
            </w:r>
          </w:p>
        </w:tc>
        <w:tc>
          <w:tcPr>
            <w:tcW w:type="dxa" w:w="2266"/>
          </w:tcPr>
          <w:p>
            <w:r>
              <w:rPr>
                <w:sz w:val="18"/>
              </w:rPr>
              <w:t>0</w:t>
            </w:r>
          </w:p>
        </w:tc>
        <w:tc>
          <w:tcPr>
            <w:tcW w:type="dxa" w:w="2266"/>
          </w:tcPr>
          <w:p>
            <w:r>
              <w:rPr>
                <w:sz w:val="18"/>
              </w:rPr>
              <w:t>PASS ✓</w:t>
            </w:r>
          </w:p>
        </w:tc>
      </w:tr>
      <w:tr>
        <w:tc>
          <w:tcPr>
            <w:tcW w:type="dxa" w:w="2266"/>
          </w:tcPr>
          <w:p>
            <w:r>
              <w:rPr>
                <w:sz w:val="18"/>
              </w:rPr>
              <w:t>Climate Strategy &amp; Risk Management</w:t>
            </w:r>
          </w:p>
        </w:tc>
        <w:tc>
          <w:tcPr>
            <w:tcW w:type="dxa" w:w="2266"/>
          </w:tcPr>
          <w:p>
            <w:r>
              <w:rPr>
                <w:sz w:val="18"/>
              </w:rPr>
              <w:t>5</w:t>
            </w:r>
          </w:p>
        </w:tc>
        <w:tc>
          <w:tcPr>
            <w:tcW w:type="dxa" w:w="2266"/>
          </w:tcPr>
          <w:p>
            <w:r>
              <w:rPr>
                <w:sz w:val="18"/>
              </w:rPr>
              <w:t>0</w:t>
            </w:r>
          </w:p>
        </w:tc>
        <w:tc>
          <w:tcPr>
            <w:tcW w:type="dxa" w:w="2266"/>
          </w:tcPr>
          <w:p>
            <w:r>
              <w:rPr>
                <w:sz w:val="18"/>
              </w:rPr>
              <w:t>PASS ✓</w:t>
            </w:r>
          </w:p>
        </w:tc>
      </w:tr>
      <w:tr>
        <w:tc>
          <w:tcPr>
            <w:tcW w:type="dxa" w:w="2266"/>
          </w:tcPr>
          <w:p>
            <w:r>
              <w:rPr>
                <w:sz w:val="18"/>
              </w:rPr>
              <w:t>Energy Consumption &amp; Efficiency</w:t>
            </w:r>
          </w:p>
        </w:tc>
        <w:tc>
          <w:tcPr>
            <w:tcW w:type="dxa" w:w="2266"/>
          </w:tcPr>
          <w:p>
            <w:r>
              <w:rPr>
                <w:sz w:val="18"/>
              </w:rPr>
              <w:t>3</w:t>
            </w:r>
          </w:p>
        </w:tc>
        <w:tc>
          <w:tcPr>
            <w:tcW w:type="dxa" w:w="2266"/>
          </w:tcPr>
          <w:p>
            <w:r>
              <w:rPr>
                <w:sz w:val="18"/>
              </w:rPr>
              <w:t>0</w:t>
            </w:r>
          </w:p>
        </w:tc>
        <w:tc>
          <w:tcPr>
            <w:tcW w:type="dxa" w:w="2266"/>
          </w:tcPr>
          <w:p>
            <w:r>
              <w:rPr>
                <w:sz w:val="18"/>
              </w:rPr>
              <w:t>PASS ✓</w:t>
            </w:r>
          </w:p>
        </w:tc>
      </w:tr>
      <w:tr>
        <w:tc>
          <w:tcPr>
            <w:tcW w:type="dxa" w:w="2266"/>
          </w:tcPr>
          <w:p>
            <w:r>
              <w:rPr>
                <w:sz w:val="18"/>
              </w:rPr>
              <w:t>Greenhouse Gas Emissions</w:t>
            </w:r>
          </w:p>
        </w:tc>
        <w:tc>
          <w:tcPr>
            <w:tcW w:type="dxa" w:w="2266"/>
          </w:tcPr>
          <w:p>
            <w:r>
              <w:rPr>
                <w:sz w:val="18"/>
              </w:rPr>
              <w:t>3</w:t>
            </w:r>
          </w:p>
        </w:tc>
        <w:tc>
          <w:tcPr>
            <w:tcW w:type="dxa" w:w="2266"/>
          </w:tcPr>
          <w:p>
            <w:r>
              <w:rPr>
                <w:sz w:val="18"/>
              </w:rPr>
              <w:t>0</w:t>
            </w:r>
          </w:p>
        </w:tc>
        <w:tc>
          <w:tcPr>
            <w:tcW w:type="dxa" w:w="2266"/>
          </w:tcPr>
          <w:p>
            <w:r>
              <w:rPr>
                <w:sz w:val="18"/>
              </w:rPr>
              <w:t>PASS ✓</w:t>
            </w:r>
          </w:p>
        </w:tc>
      </w:tr>
      <w:tr>
        <w:tc>
          <w:tcPr>
            <w:tcW w:type="dxa" w:w="2266"/>
          </w:tcPr>
          <w:p>
            <w:r>
              <w:rPr>
                <w:sz w:val="18"/>
              </w:rPr>
              <w:t>Water Stewardship</w:t>
            </w:r>
          </w:p>
        </w:tc>
        <w:tc>
          <w:tcPr>
            <w:tcW w:type="dxa" w:w="2266"/>
          </w:tcPr>
          <w:p>
            <w:r>
              <w:rPr>
                <w:sz w:val="18"/>
              </w:rPr>
              <w:t>1</w:t>
            </w:r>
          </w:p>
        </w:tc>
        <w:tc>
          <w:tcPr>
            <w:tcW w:type="dxa" w:w="2266"/>
          </w:tcPr>
          <w:p>
            <w:r>
              <w:rPr>
                <w:sz w:val="18"/>
              </w:rPr>
              <w:t>0</w:t>
            </w:r>
          </w:p>
        </w:tc>
        <w:tc>
          <w:tcPr>
            <w:tcW w:type="dxa" w:w="2266"/>
          </w:tcPr>
          <w:p>
            <w:r>
              <w:rPr>
                <w:sz w:val="18"/>
              </w:rPr>
              <w:t>PASS ✓</w:t>
            </w:r>
          </w:p>
        </w:tc>
      </w:tr>
      <w:tr>
        <w:tc>
          <w:tcPr>
            <w:tcW w:type="dxa" w:w="2266"/>
          </w:tcPr>
          <w:p>
            <w:r>
              <w:rPr>
                <w:sz w:val="18"/>
              </w:rPr>
              <w:t>Waste Management &amp; Circular Economy</w:t>
            </w:r>
          </w:p>
        </w:tc>
        <w:tc>
          <w:tcPr>
            <w:tcW w:type="dxa" w:w="2266"/>
          </w:tcPr>
          <w:p>
            <w:r>
              <w:rPr>
                <w:sz w:val="18"/>
              </w:rPr>
              <w:t>2</w:t>
            </w:r>
          </w:p>
        </w:tc>
        <w:tc>
          <w:tcPr>
            <w:tcW w:type="dxa" w:w="2266"/>
          </w:tcPr>
          <w:p>
            <w:r>
              <w:rPr>
                <w:sz w:val="18"/>
              </w:rPr>
              <w:t>0</w:t>
            </w:r>
          </w:p>
        </w:tc>
        <w:tc>
          <w:tcPr>
            <w:tcW w:type="dxa" w:w="2266"/>
          </w:tcPr>
          <w:p>
            <w:r>
              <w:rPr>
                <w:sz w:val="18"/>
              </w:rPr>
              <w:t>PASS ✓</w:t>
            </w:r>
          </w:p>
        </w:tc>
      </w:tr>
      <w:tr>
        <w:tc>
          <w:tcPr>
            <w:tcW w:type="dxa" w:w="2266"/>
          </w:tcPr>
          <w:p>
            <w:r>
              <w:rPr>
                <w:sz w:val="18"/>
              </w:rPr>
              <w:t>Workforce &amp; Human Capital</w:t>
            </w:r>
          </w:p>
        </w:tc>
        <w:tc>
          <w:tcPr>
            <w:tcW w:type="dxa" w:w="2266"/>
          </w:tcPr>
          <w:p>
            <w:r>
              <w:rPr>
                <w:sz w:val="18"/>
              </w:rPr>
              <w:t>5</w:t>
            </w:r>
          </w:p>
        </w:tc>
        <w:tc>
          <w:tcPr>
            <w:tcW w:type="dxa" w:w="2266"/>
          </w:tcPr>
          <w:p>
            <w:r>
              <w:rPr>
                <w:sz w:val="18"/>
              </w:rPr>
              <w:t>0</w:t>
            </w:r>
          </w:p>
        </w:tc>
        <w:tc>
          <w:tcPr>
            <w:tcW w:type="dxa" w:w="2266"/>
          </w:tcPr>
          <w:p>
            <w:r>
              <w:rPr>
                <w:sz w:val="18"/>
              </w:rPr>
              <w:t>PASS ✓</w:t>
            </w:r>
          </w:p>
        </w:tc>
      </w:tr>
      <w:tr>
        <w:tc>
          <w:tcPr>
            <w:tcW w:type="dxa" w:w="2266"/>
          </w:tcPr>
          <w:p>
            <w:r>
              <w:rPr>
                <w:sz w:val="18"/>
              </w:rPr>
              <w:t>Occupational Health &amp; Safety</w:t>
            </w:r>
          </w:p>
        </w:tc>
        <w:tc>
          <w:tcPr>
            <w:tcW w:type="dxa" w:w="2266"/>
          </w:tcPr>
          <w:p>
            <w:r>
              <w:rPr>
                <w:sz w:val="18"/>
              </w:rPr>
              <w:t>2</w:t>
            </w:r>
          </w:p>
        </w:tc>
        <w:tc>
          <w:tcPr>
            <w:tcW w:type="dxa" w:w="2266"/>
          </w:tcPr>
          <w:p>
            <w:r>
              <w:rPr>
                <w:sz w:val="18"/>
              </w:rPr>
              <w:t>0</w:t>
            </w:r>
          </w:p>
        </w:tc>
        <w:tc>
          <w:tcPr>
            <w:tcW w:type="dxa" w:w="2266"/>
          </w:tcPr>
          <w:p>
            <w:r>
              <w:rPr>
                <w:sz w:val="18"/>
              </w:rPr>
              <w:t>PASS ✓</w:t>
            </w:r>
          </w:p>
        </w:tc>
      </w:tr>
      <w:tr>
        <w:tc>
          <w:tcPr>
            <w:tcW w:type="dxa" w:w="2266"/>
          </w:tcPr>
          <w:p>
            <w:r>
              <w:rPr>
                <w:sz w:val="18"/>
              </w:rPr>
              <w:t>Diversity, Equity &amp; Inclusion</w:t>
            </w:r>
          </w:p>
        </w:tc>
        <w:tc>
          <w:tcPr>
            <w:tcW w:type="dxa" w:w="2266"/>
          </w:tcPr>
          <w:p>
            <w:r>
              <w:rPr>
                <w:sz w:val="18"/>
              </w:rPr>
              <w:t>2</w:t>
            </w:r>
          </w:p>
        </w:tc>
        <w:tc>
          <w:tcPr>
            <w:tcW w:type="dxa" w:w="2266"/>
          </w:tcPr>
          <w:p>
            <w:r>
              <w:rPr>
                <w:sz w:val="18"/>
              </w:rPr>
              <w:t>0</w:t>
            </w:r>
          </w:p>
        </w:tc>
        <w:tc>
          <w:tcPr>
            <w:tcW w:type="dxa" w:w="2266"/>
          </w:tcPr>
          <w:p>
            <w:r>
              <w:rPr>
                <w:sz w:val="18"/>
              </w:rPr>
              <w:t>PASS ✓</w:t>
            </w:r>
          </w:p>
        </w:tc>
      </w:tr>
      <w:tr>
        <w:tc>
          <w:tcPr>
            <w:tcW w:type="dxa" w:w="2266"/>
          </w:tcPr>
          <w:p>
            <w:r>
              <w:rPr>
                <w:sz w:val="18"/>
              </w:rPr>
              <w:t>Community Investment &amp; Business Ethics</w:t>
            </w:r>
          </w:p>
        </w:tc>
        <w:tc>
          <w:tcPr>
            <w:tcW w:type="dxa" w:w="2266"/>
          </w:tcPr>
          <w:p>
            <w:r>
              <w:rPr>
                <w:sz w:val="18"/>
              </w:rPr>
              <w:t>3</w:t>
            </w:r>
          </w:p>
        </w:tc>
        <w:tc>
          <w:tcPr>
            <w:tcW w:type="dxa" w:w="2266"/>
          </w:tcPr>
          <w:p>
            <w:r>
              <w:rPr>
                <w:sz w:val="18"/>
              </w:rPr>
              <w:t>0</w:t>
            </w:r>
          </w:p>
        </w:tc>
        <w:tc>
          <w:tcPr>
            <w:tcW w:type="dxa" w:w="2266"/>
          </w:tcPr>
          <w:p>
            <w:r>
              <w:rPr>
                <w:sz w:val="18"/>
              </w:rPr>
              <w:t>PASS ✓</w:t>
            </w:r>
          </w:p>
        </w:tc>
      </w:tr>
      <w:tr>
        <w:tc>
          <w:tcPr>
            <w:tcW w:type="dxa" w:w="2266"/>
          </w:tcPr>
          <w:p>
            <w:r>
              <w:rPr>
                <w:sz w:val="18"/>
              </w:rPr>
              <w:t>Sustainability Targets &amp; Forward Outlook</w:t>
            </w:r>
          </w:p>
        </w:tc>
        <w:tc>
          <w:tcPr>
            <w:tcW w:type="dxa" w:w="2266"/>
          </w:tcPr>
          <w:p>
            <w:r>
              <w:rPr>
                <w:sz w:val="18"/>
              </w:rPr>
              <w:t>4</w:t>
            </w:r>
          </w:p>
        </w:tc>
        <w:tc>
          <w:tcPr>
            <w:tcW w:type="dxa" w:w="2266"/>
          </w:tcPr>
          <w:p>
            <w:r>
              <w:rPr>
                <w:sz w:val="18"/>
              </w:rPr>
              <w:t>0</w:t>
            </w:r>
          </w:p>
        </w:tc>
        <w:tc>
          <w:tcPr>
            <w:tcW w:type="dxa" w:w="2266"/>
          </w:tcPr>
          <w:p>
            <w:r>
              <w:rPr>
                <w:sz w:val="18"/>
              </w:rPr>
              <w:t>PASS ✓</w:t>
            </w:r>
          </w:p>
        </w:tc>
      </w:tr>
    </w:tbl>
    <w:p/>
    <w:p>
      <w:r>
        <w:rPr>
          <w:b/>
          <w:color w:val="007000"/>
          <w:sz w:val="22"/>
        </w:rPr>
        <w:t>Overall validation status: PASS — no flags raised.</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 AI-Assisted Draft  |  Vantage Financial Services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