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56"/>
        </w:rPr>
        <w:t>Sustainability Report</w:t>
      </w:r>
    </w:p>
    <w:p>
      <w:pPr>
        <w:jc w:val="center"/>
      </w:pPr>
      <w:r>
        <w:rPr>
          <w:rFonts w:ascii="Calibri" w:hAnsi="Calibri"/>
          <w:color w:val="2E86AB"/>
          <w:sz w:val="32"/>
        </w:rPr>
        <w:t>Meridian Manufacturing Co. | 2024</w:t>
      </w:r>
    </w:p>
    <w:p>
      <w:pPr>
        <w:jc w:val="center"/>
      </w:pPr>
      <w:r>
        <w:rPr>
          <w:rFonts w:ascii="Calibri" w:hAnsi="Calibri"/>
          <w:color w:val="808080"/>
          <w:sz w:val="22"/>
        </w:rPr>
      </w:r>
    </w:p>
    <w:p/>
    <w:p/>
    <w:p/>
    <w:p/>
    <w:p>
      <w:pPr>
        <w:jc w:val="center"/>
      </w:pPr>
      <w:r>
        <w:rPr>
          <w:color w:val="808080"/>
          <w:sz w:val="18"/>
        </w:rPr>
        <w:t>Prepared by: ASPIRE</w:t>
      </w:r>
    </w:p>
    <w:p>
      <w:pPr>
        <w:jc w:val="center"/>
      </w:pPr>
      <w:r>
        <w:rPr>
          <w:color w:val="808080"/>
          <w:sz w:val="18"/>
        </w:rPr>
        <w:t>Generated: 16 May 2026</w:t>
      </w:r>
    </w:p>
    <w:p/>
    <w:p/>
    <w:p>
      <w:pPr>
        <w:jc w:val="center"/>
      </w:pPr>
      <w:r>
        <w:rPr>
          <w:b/>
          <w:color w:val="C00000"/>
          <w:sz w:val="18"/>
        </w:rPr>
        <w:t>AI-ASSISTED DRAFT — FOR INTERNAL REVIEW ONLY</w:t>
        <w:br/>
        <w:t>All figures must be verified against source data before external publication.</w:t>
      </w:r>
    </w:p>
    <w:p>
      <w:r>
        <w:br w:type="page"/>
      </w:r>
    </w:p>
    <w:p>
      <w:pPr>
        <w:pStyle w:val="Heading1"/>
      </w:pPr>
      <w:r>
        <w:rPr>
          <w:color w:val="1F3864"/>
        </w:rPr>
        <w:t>About This Report</w:t>
      </w:r>
    </w:p>
    <w:p>
      <w:r>
        <w:rPr>
          <w:sz w:val="22"/>
        </w:rPr>
        <w:t>This sustainability report for Meridian Manufacturing Co. covers the reporting period ending 2024. It has been prepared in alignment with the Global Reporting Initiative (GRI) Standards and the Task Force on Climate-related Financial Disclosures (TCFD) recommendations.</w:t>
        <w:br/>
        <w:br/>
        <w:t>Report content was generated using a large language model (LLM) pipeline and automatically validated against source data to minimise numerical inaccuracies. A validation summary is included as an appendix. All figures should be independently verified before external publication.</w:t>
      </w:r>
    </w:p>
    <w:p>
      <w:r>
        <w:br w:type="page"/>
      </w:r>
    </w:p>
    <w:p>
      <w:pPr>
        <w:pStyle w:val="Heading1"/>
      </w:pPr>
      <w:r>
        <w:rPr>
          <w:color w:val="1F3864"/>
          <w:sz w:val="32"/>
        </w:rPr>
        <w:t>Company Overview &amp; Reporting Scope</w:t>
      </w:r>
    </w:p>
    <w:p>
      <w:r>
        <w:rPr>
          <w:i/>
          <w:color w:val="2E86AB"/>
          <w:sz w:val="18"/>
        </w:rPr>
        <w:t>GRI: GRI 2-1 | TCFD: Governance</w:t>
      </w:r>
    </w:p>
    <w:p>
      <w:pPr>
        <w:spacing w:after="160"/>
      </w:pPr>
      <w:r>
        <w:rPr>
          <w:rFonts w:ascii="Calibri" w:hAnsi="Calibri"/>
          <w:sz w:val="22"/>
        </w:rPr>
        <w:t>Meridian Manufacturing Co. is a manufacturing company based in India, with a total of 4,200 employees as of the reporting year 2024. The company operates within the manufacturing industry, which is a significant sector in the country. As a responsible business entity, Meridian Manufacturing Co. recognizes the importance of transparency and accountability in its operations, which is reflected in this sustainability report.</w:t>
      </w:r>
    </w:p>
    <w:p>
      <w:pPr>
        <w:spacing w:after="160"/>
      </w:pPr>
      <w:r>
        <w:rPr>
          <w:rFonts w:ascii="Calibri" w:hAnsi="Calibri"/>
          <w:sz w:val="22"/>
        </w:rPr>
        <w:t>This report covers the company's sustainability performance for the reporting year 2024, providing an overview of its environmental, social, and governance practices. The scope of this report includes the company's operations in India, where it is headquartered. The report is prepared in accordance with the GRI Standards, specifically GRI 2-1, and is aligned with the TCFD Pillar of Governance.</w:t>
      </w:r>
    </w:p>
    <w:p>
      <w:pPr>
        <w:spacing w:after="160"/>
      </w:pPr>
      <w:r>
        <w:rPr>
          <w:rFonts w:ascii="Calibri" w:hAnsi="Calibri"/>
          <w:sz w:val="22"/>
        </w:rPr>
        <w:t>In terms of its geographic presence, Meridian Manufacturing Co. is currently operating in India. The company's industry and location provide a context for understanding its sustainability challenges and opportunities. As a manufacturing company, Meridian Manufacturing Co. has a significant impact on the environment and the community, and this report aims to provide stakeholders with information on the company's efforts to manage these impacts.</w:t>
      </w:r>
    </w:p>
    <w:p>
      <w:pPr>
        <w:spacing w:after="160"/>
      </w:pPr>
      <w:r>
        <w:rPr>
          <w:rFonts w:ascii="Calibri" w:hAnsi="Calibri"/>
          <w:sz w:val="22"/>
        </w:rPr>
        <w:t>It is noted that certain optional KPIs, such as annual revenue in USD and the number of sites, are not available for this reporting period. These metrics will be developed and disclosed in future reporting periods, providing a more comprehensive picture of the company's performance. The company is committed to continuous improvement and transparency in its reporting, and will strive to provide more detailed information in the future. As Meridian Manufacturing Co. moves forward, it will continue to prioritize the development of its sustainability reporting framework to ensure accurate and comprehensive disclosure of its sustainability performance in 2025.</w:t>
      </w:r>
    </w:p>
    <w:p/>
    <w:p>
      <w:pPr>
        <w:pStyle w:val="Heading1"/>
      </w:pPr>
      <w:r>
        <w:rPr>
          <w:color w:val="1F3864"/>
          <w:sz w:val="32"/>
        </w:rPr>
        <w:t>Governance &amp; Sustainability Leadership</w:t>
      </w:r>
    </w:p>
    <w:p>
      <w:r>
        <w:rPr>
          <w:i/>
          <w:color w:val="2E86AB"/>
          <w:sz w:val="18"/>
        </w:rPr>
        <w:t>GRI: GRI 2-9 / GRI 2-12 | TCFD: Governance</w:t>
      </w:r>
    </w:p>
    <w:p>
      <w:pPr>
        <w:spacing w:after="160"/>
      </w:pPr>
      <w:r>
        <w:rPr>
          <w:rFonts w:ascii="Calibri" w:hAnsi="Calibri"/>
          <w:sz w:val="22"/>
        </w:rPr>
        <w:t>The company's board of directors is composed of 12 members, with 4 of these members being female. In terms of independence, 58% of the board is made up of independent directors. This structure is designed to provide effective oversight of the company's operations, including its sustainability performance. The board has established mechanisms to ensure that sustainability considerations are integrated into the company's strategic decision-making processes.</w:t>
      </w:r>
    </w:p>
    <w:p>
      <w:pPr>
        <w:spacing w:after="160"/>
      </w:pPr>
      <w:r>
        <w:rPr>
          <w:rFonts w:ascii="Calibri" w:hAnsi="Calibri"/>
          <w:sz w:val="22"/>
        </w:rPr>
        <w:t>In terms of executive accountability, the company's CEO pay ratio is 87, indicating the ratio of the CEO's pay to that of the median employee. The company also prioritizes ethical business practices, with 94% of relevant staff having undergone anti-corruption training. This training is aimed at ensuring that all employees understand the importance of conducting business in a responsible and ethical manner.</w:t>
      </w:r>
    </w:p>
    <w:p>
      <w:pPr>
        <w:spacing w:after="160"/>
      </w:pPr>
      <w:r>
        <w:rPr>
          <w:rFonts w:ascii="Calibri" w:hAnsi="Calibri"/>
          <w:sz w:val="22"/>
        </w:rPr>
        <w:t>The company's supply chain is also subject to regular audits, with 43 supplier audits conducted. Furthermore, 78% of the company's suppliers have signed up to a code of conduct, demonstrating their commitment to operating in a responsible and sustainable manner. These initiatives demonstrate the company's efforts to promote sustainability and ethical practices throughout its operations and supply chain.</w:t>
      </w:r>
    </w:p>
    <w:p>
      <w:pPr>
        <w:spacing w:after="160"/>
      </w:pPr>
      <w:r>
        <w:rPr>
          <w:rFonts w:ascii="Calibri" w:hAnsi="Calibri"/>
          <w:sz w:val="22"/>
        </w:rPr>
        <w:t>The company's governance structure and oversight mechanisms are designed to ensure that sustainability considerations are given due attention and that executive accountability for ESG performance is embedded. While there may be gaps in certain aspects of governance data, the company is committed to transparency and continuous improvement in its sustainability reporting and performance. The company will continue to develop and refine its sustainability governance and reporting practices in the coming year, with a focus on enhancing the integration of ESG considerations into its strategic decision-making processes.</w:t>
      </w:r>
    </w:p>
    <w:p/>
    <w:p>
      <w:pPr>
        <w:pStyle w:val="Heading1"/>
      </w:pPr>
      <w:r>
        <w:rPr>
          <w:color w:val="1F3864"/>
          <w:sz w:val="32"/>
        </w:rPr>
        <w:t>Climate Strategy &amp; Risk Management</w:t>
      </w:r>
    </w:p>
    <w:p>
      <w:r>
        <w:rPr>
          <w:i/>
          <w:color w:val="2E86AB"/>
          <w:sz w:val="18"/>
        </w:rPr>
        <w:t>GRI: GRI 201-2 | TCFD: Strategy</w:t>
      </w:r>
    </w:p>
    <w:p>
      <w:pPr>
        <w:spacing w:after="160"/>
      </w:pPr>
      <w:r>
        <w:rPr>
          <w:rFonts w:ascii="Calibri" w:hAnsi="Calibri"/>
          <w:sz w:val="22"/>
        </w:rPr>
        <w:t>Meridian Manufacturing Co.'s approach to climate strategy and risk management is grounded in its commitment to transparency and accountability. In the reporting year 2024, the company's Scope 1 emissions totalled 42,000 tonnes CO2 equivalent, while Scope 2 emissions were 18,500 tonnes CO2 equivalent. The majority of the company's emissions, however, fell under Scope 3, with a total of 310,000 tonnes CO2 equivalent. The company's energy consumption for the year was 185,000 MWh, with 22% of its total energy coming from renewable sources.</w:t>
      </w:r>
    </w:p>
    <w:p>
      <w:pPr>
        <w:spacing w:after="160"/>
      </w:pPr>
      <w:r>
        <w:rPr>
          <w:rFonts w:ascii="Calibri" w:hAnsi="Calibri"/>
          <w:sz w:val="22"/>
        </w:rPr>
        <w:t>The company has not yet set formal climate targets, which is an area that requires attention and prioritization. Establishing clear, measurable objectives would enable Meridian Manufacturing Co. to better navigate the complexities of climate-related risks and opportunities. In line with TCFD recommendations, the company should focus on identifying and managing both physical and transition climate risks. This would involve assessing the potential impacts of climate change on its operations, supply chain, and overall business strategy.</w:t>
      </w:r>
    </w:p>
    <w:p>
      <w:pPr>
        <w:spacing w:after="160"/>
      </w:pPr>
      <w:r>
        <w:rPr>
          <w:rFonts w:ascii="Calibri" w:hAnsi="Calibri"/>
          <w:sz w:val="22"/>
        </w:rPr>
        <w:t>Meridian Manufacturing Co.'s current reliance on non-renewable energy sources, with only 22% of its energy consumption coming from renewable sources, highlights the need for a more comprehensive climate strategy. The company's energy consumption patterns and emissions profile suggest that there are opportunities for reduction and improvement. By developing and implementing a robust climate strategy, Meridian Manufacturing Co. can better manage its climate-related risks and capitalize on emerging opportunities. In the next reporting period, the company will prioritize the development of formal climate targets, a crucial step towards enhancing its climate resilience and reducing its environmental footprint.</w:t>
      </w:r>
    </w:p>
    <w:p/>
    <w:p>
      <w:pPr>
        <w:pStyle w:val="Heading1"/>
      </w:pPr>
      <w:r>
        <w:rPr>
          <w:color w:val="1F3864"/>
          <w:sz w:val="32"/>
        </w:rPr>
        <w:t>Energy Consumption &amp; Efficiency</w:t>
      </w:r>
    </w:p>
    <w:p>
      <w:r>
        <w:rPr>
          <w:i/>
          <w:color w:val="2E86AB"/>
          <w:sz w:val="18"/>
        </w:rPr>
        <w:t>GRI: GRI 302-1 / GRI 302-4 | TCFD: Metrics &amp; Targets</w:t>
      </w:r>
    </w:p>
    <w:p>
      <w:pPr>
        <w:spacing w:after="160"/>
      </w:pPr>
      <w:r>
        <w:rPr>
          <w:rFonts w:ascii="Calibri" w:hAnsi="Calibri"/>
          <w:sz w:val="22"/>
        </w:rPr>
        <w:t>Meridian Manufacturing Co.'s energy consumption for the reporting year 2024 totalled 185,000 MWh. In terms of renewable energy, the company achieved a share of 22% of its total energy consumption. This percentage indicates that while the company has made some progress in incorporating renewable energy sources, there is still a significant portion of its energy consumption that is not derived from renewable sources.</w:t>
      </w:r>
    </w:p>
    <w:p>
      <w:pPr>
        <w:spacing w:after="160"/>
      </w:pPr>
      <w:r>
        <w:rPr>
          <w:rFonts w:ascii="Calibri" w:hAnsi="Calibri"/>
          <w:sz w:val="22"/>
        </w:rPr>
        <w:t>It is noted that year-on-year trend data is not available for this reporting period, and therefore, no comparison can be made with previous years. The company recognizes the importance of tracking and reporting on energy consumption trends and will endeavour to provide this information in future reports.</w:t>
      </w:r>
    </w:p>
    <w:p>
      <w:pPr>
        <w:spacing w:after="160"/>
      </w:pPr>
      <w:r>
        <w:rPr>
          <w:rFonts w:ascii="Calibri" w:hAnsi="Calibri"/>
          <w:sz w:val="22"/>
        </w:rPr>
        <w:t>Regarding energy efficiency initiatives, the company has implemented various measures aimed at reducing energy consumption. However, due to data gaps, the impact of these initiatives in terms of energy intensity per revenue and energy reduction versus a baseline percentage cannot be quantified at this time. Additionally, data on onsite solar MWh and grid electricity MWh is not available for this reporting period. These metrics will be developed and disclosed in future reporting periods, providing a more comprehensive understanding of the company's energy consumption and efficiency efforts.</w:t>
      </w:r>
    </w:p>
    <w:p>
      <w:pPr>
        <w:spacing w:after="160"/>
      </w:pPr>
      <w:r>
        <w:rPr>
          <w:rFonts w:ascii="Calibri" w:hAnsi="Calibri"/>
          <w:sz w:val="22"/>
        </w:rPr>
        <w:t>The company's current renewable energy share of 22% is acknowledged as a starting point, and efforts will be made to increase this percentage in the future. Meridian Manufacturing Co. will continue to explore opportunities to improve its energy efficiency and reduce its reliance on non-renewable energy sources. As the company moves forward, it will prioritize the development of a comprehensive energy management strategy, which will be implemented in the next fiscal year.</w:t>
      </w:r>
    </w:p>
    <w:p/>
    <w:p>
      <w:pPr>
        <w:pStyle w:val="Heading1"/>
      </w:pPr>
      <w:r>
        <w:rPr>
          <w:color w:val="1F3864"/>
          <w:sz w:val="32"/>
        </w:rPr>
        <w:t>Greenhouse Gas Emissions</w:t>
      </w:r>
    </w:p>
    <w:p>
      <w:r>
        <w:rPr>
          <w:i/>
          <w:color w:val="2E86AB"/>
          <w:sz w:val="18"/>
        </w:rPr>
        <w:t>GRI: GRI 305-1 / GRI 305-2 / GRI 305-3 | TCFD: Metrics &amp; Targets</w:t>
      </w:r>
    </w:p>
    <w:p>
      <w:pPr>
        <w:spacing w:after="160"/>
      </w:pPr>
      <w:r>
        <w:rPr>
          <w:rFonts w:ascii="Calibri" w:hAnsi="Calibri"/>
          <w:sz w:val="22"/>
        </w:rPr>
        <w:t>Meridian Manufacturing Co.'s greenhouse gas emissions for the reporting year 2024 have been calculated in accordance with the GHG Protocol structure. The company's Scope 1 emissions, which include direct emissions from owned or controlled sources, totalled 42,000 tonnes CO2 equivalent. Scope 2 emissions, which encompass indirect emissions from the generation of purchased energy, were 18,500 tonnes CO2 equivalent. The majority of the company's emissions fall under Scope 3, which includes all other indirect emissions, with a total of 310,000 tonnes CO2 equivalent.</w:t>
      </w:r>
    </w:p>
    <w:p>
      <w:pPr>
        <w:spacing w:after="160"/>
      </w:pPr>
      <w:r>
        <w:rPr>
          <w:rFonts w:ascii="Calibri" w:hAnsi="Calibri"/>
          <w:sz w:val="22"/>
        </w:rPr>
        <w:t>The company's total greenhouse gas emissions footprint is comprised of these three scopes, with Scope 3 emissions being the most significant contributor. The methodology used to calculate these emissions is in line with the GHG Protocol, although the specific methodology details are not available for this reporting period. Emissions intensity metrics, such as emissions per revenue, will be developed and disclosed in future reports, providing a more comprehensive understanding of the company's emissions performance.</w:t>
      </w:r>
    </w:p>
    <w:p>
      <w:pPr>
        <w:spacing w:after="160"/>
      </w:pPr>
      <w:r>
        <w:rPr>
          <w:rFonts w:ascii="Calibri" w:hAnsi="Calibri"/>
          <w:sz w:val="22"/>
        </w:rPr>
        <w:t>At present, the company's progress against reduction targets cannot be fully assessed due to the lack of historical emissions data and intensity metrics. However, the disclosure of Scope 1, 2, and 3 emissions provides a foundation for future reporting and analysis. The company will continue to work towards enhancing its emissions disclosure, including the development of intensity metrics and the calculation of year-over-year emissions changes, which will be included in future reports.</w:t>
      </w:r>
    </w:p>
    <w:p>
      <w:pPr>
        <w:spacing w:after="160"/>
      </w:pPr>
      <w:r>
        <w:rPr>
          <w:rFonts w:ascii="Calibri" w:hAnsi="Calibri"/>
          <w:sz w:val="22"/>
        </w:rPr>
        <w:t>As Meridian Manufacturing Co. moves forward, it will prioritize the enhancement of its greenhouse gas emissions reporting, with a focus on developing a more comprehensive understanding of its emissions footprint and progress towards reduction targets, and the company will disclose its 2025 greenhouse gas emissions data in its next sustainability report.</w:t>
      </w:r>
    </w:p>
    <w:p/>
    <w:p>
      <w:pPr>
        <w:pStyle w:val="Heading1"/>
      </w:pPr>
      <w:r>
        <w:rPr>
          <w:color w:val="1F3864"/>
          <w:sz w:val="32"/>
        </w:rPr>
        <w:t>Water Stewardship</w:t>
      </w:r>
    </w:p>
    <w:p>
      <w:r>
        <w:rPr>
          <w:i/>
          <w:color w:val="2E86AB"/>
          <w:sz w:val="18"/>
        </w:rPr>
        <w:t>GRI: GRI 303-1 / GRI 303-3</w:t>
      </w:r>
    </w:p>
    <w:p>
      <w:pPr>
        <w:spacing w:after="160"/>
      </w:pPr>
      <w:r>
        <w:rPr>
          <w:rFonts w:ascii="Calibri" w:hAnsi="Calibri"/>
          <w:sz w:val="22"/>
        </w:rPr>
        <w:t>Meridian Manufacturing Co. recognizes the importance of responsible water management in its operations. In 2024, the company withdrew 920,000 cubic metres of water to support its manufacturing processes. Of this volume, 34% was recycled, demonstrating a commitment to reducing the strain on local water resources. This recycling rate is a key indicator of the company's water stewardship efforts, as it helps to minimize the amount of freshwater required for operations.</w:t>
      </w:r>
    </w:p>
    <w:p>
      <w:pPr>
        <w:spacing w:after="160"/>
      </w:pPr>
      <w:r>
        <w:rPr>
          <w:rFonts w:ascii="Calibri" w:hAnsi="Calibri"/>
          <w:sz w:val="22"/>
        </w:rPr>
        <w:t>While the company has made efforts to recycle a significant portion of its water withdrawal, there are opportunities for further improvement. Notably, data on water intensity per revenue and sites in water-stressed areas are not available for this reporting period. These metrics will be developed and disclosed in future reports, providing a more comprehensive understanding of the company's water management practices. Additionally, the company has not established a water reduction target percentage at this time, but this will be considered in future sustainability planning.</w:t>
      </w:r>
    </w:p>
    <w:p>
      <w:pPr>
        <w:spacing w:after="160"/>
      </w:pPr>
      <w:r>
        <w:rPr>
          <w:rFonts w:ascii="Calibri" w:hAnsi="Calibri"/>
          <w:sz w:val="22"/>
        </w:rPr>
        <w:t>The company acknowledges that water stress is a critical issue in many regions, and it is essential to understand the impact of its operations on local water resources. However, data on water stress is not currently available. As a next step, the company recommends conducting a water stress assessment to better understand the risks and opportunities associated with its water use. This assessment will inform the development of targeted stewardship programs, particularly in areas where water is scarce.</w:t>
      </w:r>
    </w:p>
    <w:p>
      <w:pPr>
        <w:spacing w:after="160"/>
      </w:pPr>
      <w:r>
        <w:rPr>
          <w:rFonts w:ascii="Calibri" w:hAnsi="Calibri"/>
          <w:sz w:val="22"/>
        </w:rPr>
        <w:t>As Meridian Manufacturing Co. continues to prioritize water stewardship, it will focus on building on its current recycling efforts and exploring opportunities to reduce its water footprint. The company will conduct a water stress assessment in the next reporting period to inform its water management strategy.</w:t>
      </w:r>
    </w:p>
    <w:p/>
    <w:p>
      <w:pPr>
        <w:pStyle w:val="Heading1"/>
      </w:pPr>
      <w:r>
        <w:rPr>
          <w:color w:val="1F3864"/>
          <w:sz w:val="32"/>
        </w:rPr>
        <w:t>Waste Management &amp; Circular Economy</w:t>
      </w:r>
    </w:p>
    <w:p>
      <w:r>
        <w:rPr>
          <w:i/>
          <w:color w:val="2E86AB"/>
          <w:sz w:val="18"/>
        </w:rPr>
        <w:t>GRI: GRI 306-2 / GRI 306-3</w:t>
      </w:r>
    </w:p>
    <w:p>
      <w:pPr>
        <w:spacing w:after="160"/>
      </w:pPr>
      <w:r>
        <w:rPr>
          <w:rFonts w:ascii="Calibri" w:hAnsi="Calibri"/>
          <w:sz w:val="22"/>
        </w:rPr>
        <w:t>Meridian Manufacturing Co. acknowledges the importance of responsible waste management and its role in transitioning towards a circular economy. In 2024, the company generated a total of 8,400 tonnes of waste. Of this total, 67% was recycled, demonstrating a notable level of waste diversion. The company also managed 420 tonnes of hazardous waste, ensuring its safe handling and disposal.</w:t>
      </w:r>
    </w:p>
    <w:p>
      <w:pPr>
        <w:spacing w:after="160"/>
      </w:pPr>
      <w:r>
        <w:rPr>
          <w:rFonts w:ascii="Calibri" w:hAnsi="Calibri"/>
          <w:sz w:val="22"/>
        </w:rPr>
        <w:t>While the company has made efforts to recycle a significant portion of its waste, there is still room for improvement in reducing overall waste generation and increasing recycling rates. The company recognizes the need to continue exploring opportunities for waste reduction and diversion.</w:t>
      </w:r>
    </w:p>
    <w:p>
      <w:pPr>
        <w:spacing w:after="160"/>
      </w:pPr>
      <w:r>
        <w:rPr>
          <w:rFonts w:ascii="Calibri" w:hAnsi="Calibri"/>
          <w:sz w:val="22"/>
        </w:rPr>
        <w:t>The company's circular economy initiatives are still in the early stages of development, and as such, specific metrics and data on these initiatives are not yet available. Similarly, data on waste sent to landfill and the overall diversion rate are not available for this reporting period. These metrics will be developed and disclosed in future reporting periods, providing a more comprehensive picture of the company's waste management performance.</w:t>
      </w:r>
    </w:p>
    <w:p>
      <w:pPr>
        <w:spacing w:after="160"/>
      </w:pPr>
      <w:r>
        <w:rPr>
          <w:rFonts w:ascii="Calibri" w:hAnsi="Calibri"/>
          <w:sz w:val="22"/>
        </w:rPr>
        <w:t>Meridian Manufacturing Co. is committed to transparency and accountability in its sustainability reporting. The company will continue to work towards improving its waste management practices and reducing its environmental footprint. As the company moves forward, it will prioritize the development of a more comprehensive waste management strategy, including the implementation of circular economy initiatives and the tracking of key performance indicators. The company will include metrics on waste sent to landfill and diversion rates in its next sustainability report, building on the foundation established in this year's report.</w:t>
      </w:r>
    </w:p>
    <w:p/>
    <w:p>
      <w:pPr>
        <w:pStyle w:val="Heading1"/>
      </w:pPr>
      <w:r>
        <w:rPr>
          <w:color w:val="1F3864"/>
          <w:sz w:val="32"/>
        </w:rPr>
        <w:t>Workforce &amp; Human Capital</w:t>
      </w:r>
    </w:p>
    <w:p>
      <w:r>
        <w:rPr>
          <w:i/>
          <w:color w:val="2E86AB"/>
          <w:sz w:val="18"/>
        </w:rPr>
        <w:t>GRI: GRI 2-7 / GRI 401-1 / GRI 405-1</w:t>
      </w:r>
    </w:p>
    <w:p>
      <w:pPr>
        <w:spacing w:after="160"/>
      </w:pPr>
      <w:r>
        <w:rPr>
          <w:rFonts w:ascii="Calibri" w:hAnsi="Calibri"/>
          <w:sz w:val="22"/>
        </w:rPr>
        <w:t>Meridian Manufacturing Co.'s workforce is a critical component of its operations, and the company is committed to disclosing its workforce composition and human capital development investments. As of the reporting period, the company employed a total of 4,200 people. In terms of gender diversity, 31% of the total workforce were female employees. The company acknowledges that while this represents a significant portion of the workforce, there is still room for improvement in achieving a more balanced gender split.</w:t>
      </w:r>
    </w:p>
    <w:p>
      <w:pPr>
        <w:spacing w:after="160"/>
      </w:pPr>
      <w:r>
        <w:rPr>
          <w:rFonts w:ascii="Calibri" w:hAnsi="Calibri"/>
          <w:sz w:val="22"/>
        </w:rPr>
        <w:t>The company's annual turnover rate was 12.4%, which is a challenge that Meridian Manufacturing Co. recognizes as a retention issue that needs to be addressed. To mitigate this, the company will focus on improving employee engagement and development opportunities. Despite the turnover, the company hired 380 new employees during the reporting period, demonstrating its ongoing commitment to growth and development.</w:t>
      </w:r>
    </w:p>
    <w:p>
      <w:pPr>
        <w:spacing w:after="160"/>
      </w:pPr>
      <w:r>
        <w:rPr>
          <w:rFonts w:ascii="Calibri" w:hAnsi="Calibri"/>
          <w:sz w:val="22"/>
        </w:rPr>
        <w:t>Investing in human capital is a key priority for Meridian Manufacturing Co., and the company provided an average of 28.5 training hours per employee per year. This investment in employee development is crucial for enhancing skills and knowledge, and the company believes it will have a positive impact on employee retention and overall business performance.</w:t>
      </w:r>
    </w:p>
    <w:p>
      <w:pPr>
        <w:spacing w:after="160"/>
      </w:pPr>
      <w:r>
        <w:rPr>
          <w:rFonts w:ascii="Calibri" w:hAnsi="Calibri"/>
          <w:sz w:val="22"/>
        </w:rPr>
        <w:t>The company notes that certain metrics, such as the number of part-time employees and union membership percentage, are not available for this reporting period. These metrics will be developed and disclosed in future reports, providing a more comprehensive picture of the company's workforce composition and human capital management practices. As Meridian Manufacturing Co. continues to prioritize its workforce and human capital development, it will focus on implementing strategies to reduce turnover and enhance employee engagement in the next reporting period.</w:t>
      </w:r>
    </w:p>
    <w:p/>
    <w:p>
      <w:pPr>
        <w:pStyle w:val="Heading1"/>
      </w:pPr>
      <w:r>
        <w:rPr>
          <w:color w:val="1F3864"/>
          <w:sz w:val="32"/>
        </w:rPr>
        <w:t>Occupational Health &amp; Safety</w:t>
      </w:r>
    </w:p>
    <w:p>
      <w:r>
        <w:rPr>
          <w:i/>
          <w:color w:val="2E86AB"/>
          <w:sz w:val="18"/>
        </w:rPr>
        <w:t>GRI: GRI 403-2 / GRI 403-9</w:t>
      </w:r>
    </w:p>
    <w:p>
      <w:pPr>
        <w:spacing w:after="160"/>
      </w:pPr>
      <w:r>
        <w:rPr>
          <w:rFonts w:ascii="Calibri" w:hAnsi="Calibri"/>
          <w:sz w:val="22"/>
        </w:rPr>
        <w:t>Meridian Manufacturing Co. prioritizes the safety and well-being of its employees, recognizing the importance of a safe working environment in maintaining a healthy and productive workforce. In 2024, the company reported 7 work-related injuries, which are categorized as recordable injuries. Fortunately, there were 0 fatalities, indicating a strong commitment to protecting the lives of employees.</w:t>
      </w:r>
    </w:p>
    <w:p>
      <w:pPr>
        <w:spacing w:after="160"/>
      </w:pPr>
      <w:r>
        <w:rPr>
          <w:rFonts w:ascii="Calibri" w:hAnsi="Calibri"/>
          <w:sz w:val="22"/>
        </w:rPr>
        <w:t>The company's safety management system is designed to identify and mitigate potential hazards, providing a framework for continuous improvement. A key component of this system is the provision of regular training to employees, which helps to enhance their awareness of safety protocols and procedures. In 2024, the average number of training hours per employee was 28.5 hours per year, demonstrating the company's dedication to investing in the safety and development of its workforce.</w:t>
      </w:r>
    </w:p>
    <w:p>
      <w:pPr>
        <w:spacing w:after="160"/>
      </w:pPr>
      <w:r>
        <w:rPr>
          <w:rFonts w:ascii="Calibri" w:hAnsi="Calibri"/>
          <w:sz w:val="22"/>
        </w:rPr>
        <w:t>While the company is pleased to report a fatality-free year, it acknowledges that there is always room for improvement. To further enhance its safety performance, Meridian Manufacturing Co. will continue to focus on preventing work-related injuries and promoting a culture of safety throughout the organization. The company also recognizes the importance of tracking key safety metrics and will work towards developing and disclosing additional metrics, such as lost time injury frequency rate, near miss incidents, and occupational illness rate, in future reporting periods.</w:t>
      </w:r>
    </w:p>
    <w:p>
      <w:pPr>
        <w:spacing w:after="160"/>
      </w:pPr>
      <w:r>
        <w:rPr>
          <w:rFonts w:ascii="Calibri" w:hAnsi="Calibri"/>
          <w:sz w:val="22"/>
        </w:rPr>
        <w:t>As Meridian Manufacturing Co. looks to the future, it will build on the progress made in 2024 by continuing to prioritize employee safety and well-being, with a focus on reducing work-related injuries and maintaining a fatality-free record, and will review and refine its safety management system to ensure it remains effective in preventing accidents and promoting a safe working environment.</w:t>
      </w:r>
    </w:p>
    <w:p/>
    <w:p>
      <w:pPr>
        <w:pStyle w:val="Heading1"/>
      </w:pPr>
      <w:r>
        <w:rPr>
          <w:color w:val="1F3864"/>
          <w:sz w:val="32"/>
        </w:rPr>
        <w:t>Diversity, Equity &amp; Inclusion</w:t>
      </w:r>
    </w:p>
    <w:p>
      <w:r>
        <w:rPr>
          <w:i/>
          <w:color w:val="2E86AB"/>
          <w:sz w:val="18"/>
        </w:rPr>
        <w:t>GRI: GRI 405-1 / GRI 406-1</w:t>
      </w:r>
    </w:p>
    <w:p>
      <w:pPr>
        <w:spacing w:after="160"/>
      </w:pPr>
      <w:r>
        <w:rPr>
          <w:rFonts w:ascii="Calibri" w:hAnsi="Calibri"/>
          <w:sz w:val="22"/>
        </w:rPr>
        <w:t>Meridian Manufacturing Co.'s workforce composition reflects a mix of genders, with 31% of the total workforce identifying as female and 69% as male. This breakdown indicates that while women are represented in the company, there is still a notable imbalance in the gender distribution. The company acknowledges this gap and recognizes the importance of striving for greater diversity and inclusion.</w:t>
      </w:r>
    </w:p>
    <w:p>
      <w:pPr>
        <w:spacing w:after="160"/>
      </w:pPr>
      <w:r>
        <w:rPr>
          <w:rFonts w:ascii="Calibri" w:hAnsi="Calibri"/>
          <w:sz w:val="22"/>
        </w:rPr>
        <w:t>At the board level, there are 4 female members, which is a positive step towards promoting diversity in leadership positions. However, without additional data on the total number of board members, it is challenging to assess the overall representation of women in these roles.</w:t>
      </w:r>
    </w:p>
    <w:p>
      <w:pPr>
        <w:spacing w:after="160"/>
      </w:pPr>
      <w:r>
        <w:rPr>
          <w:rFonts w:ascii="Calibri" w:hAnsi="Calibri"/>
          <w:sz w:val="22"/>
        </w:rPr>
        <w:t>The company is aware of the importance of pay equity and anti-discrimination measures in fostering a fair and inclusive work environment. Unfortunately, data on pay gap percentage and discrimination incidents is not available for this reporting period. Similarly, information on the percentage of ethnically diverse employees and details about DEI programmes and their outcomes are not yet available. These metrics will be developed and disclosed in future reporting periods, providing a more comprehensive understanding of the company's diversity, equity, and inclusion performance.</w:t>
      </w:r>
    </w:p>
    <w:p>
      <w:pPr>
        <w:spacing w:after="160"/>
      </w:pPr>
      <w:r>
        <w:rPr>
          <w:rFonts w:ascii="Calibri" w:hAnsi="Calibri"/>
          <w:sz w:val="22"/>
        </w:rPr>
        <w:t>Meridian Manufacturing Co. recognizes that there is room for improvement in achieving a more balanced and diverse workforce. The company will continue to focus on addressing these gaps and promoting a culture of inclusion. As the company moves forward, it will prioritize the collection and disclosure of more detailed diversity and inclusion data to better understand its progress and identify areas for improvement. The company will develop and track key diversity metrics in the next reporting period to inform its DEI strategy.</w:t>
      </w:r>
    </w:p>
    <w:p/>
    <w:p>
      <w:pPr>
        <w:pStyle w:val="Heading1"/>
      </w:pPr>
      <w:r>
        <w:rPr>
          <w:color w:val="1F3864"/>
          <w:sz w:val="32"/>
        </w:rPr>
        <w:t>Community Investment &amp; Business Ethics</w:t>
      </w:r>
    </w:p>
    <w:p>
      <w:r>
        <w:rPr>
          <w:i/>
          <w:color w:val="2E86AB"/>
          <w:sz w:val="18"/>
        </w:rPr>
        <w:t>GRI: GRI 205-1 / GRI 413-1</w:t>
      </w:r>
    </w:p>
    <w:p>
      <w:pPr>
        <w:spacing w:after="160"/>
      </w:pPr>
      <w:r>
        <w:rPr>
          <w:rFonts w:ascii="Calibri" w:hAnsi="Calibri"/>
          <w:sz w:val="22"/>
        </w:rPr>
        <w:t>Meridian Manufacturing Co. remains committed to upholding the highest standards of business ethics and investing in the communities where it operates. In 2024, the company invested USD 1,200,000 in community investment programmes, demonstrating its dedication to giving back to society. This investment is a testament to the company's efforts to make a positive impact on the lives of people in the communities it serves.</w:t>
      </w:r>
    </w:p>
    <w:p>
      <w:pPr>
        <w:spacing w:after="160"/>
      </w:pPr>
      <w:r>
        <w:rPr>
          <w:rFonts w:ascii="Calibri" w:hAnsi="Calibri"/>
          <w:sz w:val="22"/>
        </w:rPr>
        <w:t>In terms of supplier compliance, Meridian Manufacturing Co. has made significant strides in ensuring that its suppliers adhere to its code of conduct. As of the reporting period, 78% of the company's suppliers have signed up to its code of conduct, indicating a strong commitment to ethical business practices throughout the supply chain. Furthermore, the company conducted 43 supplier audits to monitor compliance and identify areas for improvement.</w:t>
      </w:r>
    </w:p>
    <w:p>
      <w:pPr>
        <w:spacing w:after="160"/>
      </w:pPr>
      <w:r>
        <w:rPr>
          <w:rFonts w:ascii="Calibri" w:hAnsi="Calibri"/>
          <w:sz w:val="22"/>
        </w:rPr>
        <w:t>The company also prioritizes anti-corruption controls, with 94% of relevant staff having undergone anti-corruption training. This high level of training coverage underscores the company's commitment to preventing corruption and promoting a culture of integrity.</w:t>
      </w:r>
    </w:p>
    <w:p>
      <w:pPr>
        <w:spacing w:after="160"/>
      </w:pPr>
      <w:r>
        <w:rPr>
          <w:rFonts w:ascii="Calibri" w:hAnsi="Calibri"/>
          <w:sz w:val="22"/>
        </w:rPr>
        <w:t>In relation to data breaches, Meridian Manufacturing Co. is pleased to report that there were 0 incidents during the reporting period, in accordance with the disclosure requirements of GRI 418-1. This reflects the company's robust data protection measures and its focus on safeguarding sensitive information.</w:t>
      </w:r>
    </w:p>
    <w:p>
      <w:pPr>
        <w:spacing w:after="160"/>
      </w:pPr>
      <w:r>
        <w:rPr>
          <w:rFonts w:ascii="Calibri" w:hAnsi="Calibri"/>
          <w:sz w:val="22"/>
        </w:rPr>
        <w:t>While certain metrics, such as volunteer hours, corruption incidents, whistleblower cases, and human rights assessments, are not available for this reporting period, the company is working to develop and disclose these metrics in future reports. As Meridian Manufacturing Co. continues to enhance its sustainability reporting, it will prioritize transparency and accountability, and next year, the company will conduct a comprehensive review of its community investment programmes to identify opportunities for further improvement.</w:t>
      </w:r>
    </w:p>
    <w:p/>
    <w:p>
      <w:pPr>
        <w:pStyle w:val="Heading1"/>
      </w:pPr>
      <w:r>
        <w:rPr>
          <w:color w:val="1F3864"/>
          <w:sz w:val="32"/>
        </w:rPr>
        <w:t>Sustainability Targets &amp; Forward Outlook</w:t>
      </w:r>
    </w:p>
    <w:p>
      <w:r>
        <w:rPr>
          <w:i/>
          <w:color w:val="2E86AB"/>
          <w:sz w:val="18"/>
        </w:rPr>
        <w:t>GRI: GRI 2-29 / TCFD Metrics &amp; Targets | TCFD: Metrics &amp; Targets</w:t>
      </w:r>
    </w:p>
    <w:p>
      <w:pPr>
        <w:spacing w:after="160"/>
      </w:pPr>
      <w:r>
        <w:rPr>
          <w:rFonts w:ascii="Calibri" w:hAnsi="Calibri"/>
          <w:sz w:val="22"/>
        </w:rPr>
        <w:t>As of the reporting period, Meridian Manufacturing Co. has not yet formalised quantitative sustainability targets. Establishing science-based targets is identified as a priority for the forthcoming period. The company's current sustainability performance is characterised by a renewable energy share of 22% of total energy. In terms of greenhouse gas emissions, the company reported 42,000 tonnes CO2 equivalent in Scope 1 emissions, 18,500 tonnes CO2 equivalent in Scope 2 emissions, and 310,000 tonnes CO2 equivalent in Scope 3 emissions for the reporting year 2024.</w:t>
      </w:r>
    </w:p>
    <w:p>
      <w:pPr>
        <w:spacing w:after="160"/>
      </w:pPr>
      <w:r>
        <w:rPr>
          <w:rFonts w:ascii="Calibri" w:hAnsi="Calibri"/>
          <w:sz w:val="22"/>
        </w:rPr>
        <w:t>The company's progress towards reducing its environmental footprint is currently being tracked through these emissions figures and the proportion of renewable energy in its energy mix. However, without formal targets in place, it is challenging to assess the company's progress towards specific sustainability objectives. The development of science-based targets will be crucial in guiding the company's sustainability strategy and ensuring that its efforts are aligned with global best practices.</w:t>
      </w:r>
    </w:p>
    <w:p>
      <w:pPr>
        <w:spacing w:after="160"/>
      </w:pPr>
      <w:r>
        <w:rPr>
          <w:rFonts w:ascii="Calibri" w:hAnsi="Calibri"/>
          <w:sz w:val="22"/>
        </w:rPr>
        <w:t>Several key performance indicators, including net zero target year, renewable energy target percentage, water reduction target percentage, and waste diversion target percentage, are not available for this reporting period. These metrics will be developed and disclosed in future reporting periods, providing a more comprehensive picture of the company's sustainability performance. As the company moves forward, it will focus on establishing a robust sustainability framework that includes formal targets and key performance indicators to guide its efforts. The company will prioritise the development of its sustainability strategy in the forthcoming period, with a focus on establishing a foundation for future progress.</w:t>
      </w:r>
    </w:p>
    <w:p/>
    <w:p>
      <w:r>
        <w:br w:type="page"/>
      </w:r>
    </w:p>
    <w:p>
      <w:pPr>
        <w:pStyle w:val="Heading1"/>
      </w:pPr>
      <w:r>
        <w:rPr>
          <w:color w:val="1F3864"/>
        </w:rPr>
        <w:t>Appendix: Validation Summary</w:t>
      </w:r>
    </w:p>
    <w:p>
      <w:r>
        <w:rPr>
          <w:sz w:val="22"/>
        </w:rPr>
        <w:t>The table below summarises the automated validation check performed on all LLM-generated content. Each numeric value in the report was cross-checked against the source CSV data within a 5% tolerance threshold. Flagged values require human review before publication.</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fill="1F3864" w:color="FFFFFF" w:val="clear"/>
          </w:tcPr>
          <w:p>
            <w:r>
              <w:rPr>
                <w:b/>
                <w:color w:val="FFFFFF"/>
                <w:sz w:val="18"/>
              </w:rPr>
              <w:t>Section</w:t>
            </w:r>
          </w:p>
        </w:tc>
        <w:tc>
          <w:tcPr>
            <w:tcW w:type="dxa" w:w="2266"/>
            <w:shd w:fill="1F3864" w:color="FFFFFF" w:val="clear"/>
          </w:tcPr>
          <w:p>
            <w:r>
              <w:rPr>
                <w:b/>
                <w:color w:val="FFFFFF"/>
                <w:sz w:val="18"/>
              </w:rPr>
              <w:t>Numbers Checked</w:t>
            </w:r>
          </w:p>
        </w:tc>
        <w:tc>
          <w:tcPr>
            <w:tcW w:type="dxa" w:w="2266"/>
            <w:shd w:fill="1F3864" w:color="FFFFFF" w:val="clear"/>
          </w:tcPr>
          <w:p>
            <w:r>
              <w:rPr>
                <w:b/>
                <w:color w:val="FFFFFF"/>
                <w:sz w:val="18"/>
              </w:rPr>
              <w:t>Flags Raised</w:t>
            </w:r>
          </w:p>
        </w:tc>
        <w:tc>
          <w:tcPr>
            <w:tcW w:type="dxa" w:w="2266"/>
            <w:shd w:fill="1F3864" w:color="FFFFFF" w:val="clear"/>
          </w:tcPr>
          <w:p>
            <w:r>
              <w:rPr>
                <w:b/>
                <w:color w:val="FFFFFF"/>
                <w:sz w:val="18"/>
              </w:rPr>
              <w:t>Status</w:t>
            </w:r>
          </w:p>
        </w:tc>
      </w:tr>
      <w:tr>
        <w:tc>
          <w:tcPr>
            <w:tcW w:type="dxa" w:w="2266"/>
          </w:tcPr>
          <w:p>
            <w:r>
              <w:rPr>
                <w:sz w:val="18"/>
              </w:rPr>
              <w:t>Company Overview &amp; Reporting Scope</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Governance &amp; Sustainability Leadership</w:t>
            </w:r>
          </w:p>
        </w:tc>
        <w:tc>
          <w:tcPr>
            <w:tcW w:type="dxa" w:w="2266"/>
          </w:tcPr>
          <w:p>
            <w:r>
              <w:rPr>
                <w:sz w:val="18"/>
              </w:rPr>
              <w:t>6</w:t>
            </w:r>
          </w:p>
        </w:tc>
        <w:tc>
          <w:tcPr>
            <w:tcW w:type="dxa" w:w="2266"/>
          </w:tcPr>
          <w:p>
            <w:r>
              <w:rPr>
                <w:sz w:val="18"/>
              </w:rPr>
              <w:t>0</w:t>
            </w:r>
          </w:p>
        </w:tc>
        <w:tc>
          <w:tcPr>
            <w:tcW w:type="dxa" w:w="2266"/>
          </w:tcPr>
          <w:p>
            <w:r>
              <w:rPr>
                <w:sz w:val="18"/>
              </w:rPr>
              <w:t>PASS ✓</w:t>
            </w:r>
          </w:p>
        </w:tc>
      </w:tr>
      <w:tr>
        <w:tc>
          <w:tcPr>
            <w:tcW w:type="dxa" w:w="2266"/>
          </w:tcPr>
          <w:p>
            <w:r>
              <w:rPr>
                <w:sz w:val="18"/>
              </w:rPr>
              <w:t>Climate Strategy &amp; Risk Management</w:t>
            </w:r>
          </w:p>
        </w:tc>
        <w:tc>
          <w:tcPr>
            <w:tcW w:type="dxa" w:w="2266"/>
          </w:tcPr>
          <w:p>
            <w:r>
              <w:rPr>
                <w:sz w:val="18"/>
              </w:rPr>
              <w:t>6</w:t>
            </w:r>
          </w:p>
        </w:tc>
        <w:tc>
          <w:tcPr>
            <w:tcW w:type="dxa" w:w="2266"/>
          </w:tcPr>
          <w:p>
            <w:r>
              <w:rPr>
                <w:sz w:val="18"/>
              </w:rPr>
              <w:t>0</w:t>
            </w:r>
          </w:p>
        </w:tc>
        <w:tc>
          <w:tcPr>
            <w:tcW w:type="dxa" w:w="2266"/>
          </w:tcPr>
          <w:p>
            <w:r>
              <w:rPr>
                <w:sz w:val="18"/>
              </w:rPr>
              <w:t>PASS ✓</w:t>
            </w:r>
          </w:p>
        </w:tc>
      </w:tr>
      <w:tr>
        <w:tc>
          <w:tcPr>
            <w:tcW w:type="dxa" w:w="2266"/>
          </w:tcPr>
          <w:p>
            <w:r>
              <w:rPr>
                <w:sz w:val="18"/>
              </w:rPr>
              <w:t>Energy Consumption &amp; Efficiency</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Greenhouse Gas Emissions</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Water Stewardship</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Waste Management &amp; Circular Economy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Workforce &amp; Human Capital</w:t>
            </w:r>
          </w:p>
        </w:tc>
        <w:tc>
          <w:tcPr>
            <w:tcW w:type="dxa" w:w="2266"/>
          </w:tcPr>
          <w:p>
            <w:r>
              <w:rPr>
                <w:sz w:val="18"/>
              </w:rPr>
              <w:t>4</w:t>
            </w:r>
          </w:p>
        </w:tc>
        <w:tc>
          <w:tcPr>
            <w:tcW w:type="dxa" w:w="2266"/>
          </w:tcPr>
          <w:p>
            <w:r>
              <w:rPr>
                <w:sz w:val="18"/>
              </w:rPr>
              <w:t>0</w:t>
            </w:r>
          </w:p>
        </w:tc>
        <w:tc>
          <w:tcPr>
            <w:tcW w:type="dxa" w:w="2266"/>
          </w:tcPr>
          <w:p>
            <w:r>
              <w:rPr>
                <w:sz w:val="18"/>
              </w:rPr>
              <w:t>PASS ✓</w:t>
            </w:r>
          </w:p>
        </w:tc>
      </w:tr>
      <w:tr>
        <w:tc>
          <w:tcPr>
            <w:tcW w:type="dxa" w:w="2266"/>
          </w:tcPr>
          <w:p>
            <w:r>
              <w:rPr>
                <w:sz w:val="18"/>
              </w:rPr>
              <w:t>Occupational Health &amp; Safety</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Diversity, Equity &amp; Inclusion</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Community Investment &amp; Business Ethics</w:t>
            </w:r>
          </w:p>
        </w:tc>
        <w:tc>
          <w:tcPr>
            <w:tcW w:type="dxa" w:w="2266"/>
          </w:tcPr>
          <w:p>
            <w:r>
              <w:rPr>
                <w:sz w:val="18"/>
              </w:rPr>
              <w:t>4</w:t>
            </w:r>
          </w:p>
        </w:tc>
        <w:tc>
          <w:tcPr>
            <w:tcW w:type="dxa" w:w="2266"/>
          </w:tcPr>
          <w:p>
            <w:r>
              <w:rPr>
                <w:sz w:val="18"/>
              </w:rPr>
              <w:t>0</w:t>
            </w:r>
          </w:p>
        </w:tc>
        <w:tc>
          <w:tcPr>
            <w:tcW w:type="dxa" w:w="2266"/>
          </w:tcPr>
          <w:p>
            <w:r>
              <w:rPr>
                <w:sz w:val="18"/>
              </w:rPr>
              <w:t>PASS ✓</w:t>
            </w:r>
          </w:p>
        </w:tc>
      </w:tr>
      <w:tr>
        <w:tc>
          <w:tcPr>
            <w:tcW w:type="dxa" w:w="2266"/>
          </w:tcPr>
          <w:p>
            <w:r>
              <w:rPr>
                <w:sz w:val="18"/>
              </w:rPr>
              <w:t>Sustainability Targets &amp; Forward Outlook</w:t>
            </w:r>
          </w:p>
        </w:tc>
        <w:tc>
          <w:tcPr>
            <w:tcW w:type="dxa" w:w="2266"/>
          </w:tcPr>
          <w:p>
            <w:r>
              <w:rPr>
                <w:sz w:val="18"/>
              </w:rPr>
              <w:t>4</w:t>
            </w:r>
          </w:p>
        </w:tc>
        <w:tc>
          <w:tcPr>
            <w:tcW w:type="dxa" w:w="2266"/>
          </w:tcPr>
          <w:p>
            <w:r>
              <w:rPr>
                <w:sz w:val="18"/>
              </w:rPr>
              <w:t>0</w:t>
            </w:r>
          </w:p>
        </w:tc>
        <w:tc>
          <w:tcPr>
            <w:tcW w:type="dxa" w:w="2266"/>
          </w:tcPr>
          <w:p>
            <w:r>
              <w:rPr>
                <w:sz w:val="18"/>
              </w:rPr>
              <w:t>PASS ✓</w:t>
            </w:r>
          </w:p>
        </w:tc>
      </w:tr>
    </w:tbl>
    <w:p/>
    <w:p>
      <w:r>
        <w:rPr>
          <w:b/>
          <w:color w:val="007000"/>
          <w:sz w:val="22"/>
        </w:rPr>
        <w:t>Overall validation status: PASS — no flags raised.</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AI-Assisted Draft  |  Meridian Manufacturing Co.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