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F3864"/>
          <w:sz w:val="56"/>
        </w:rPr>
        <w:t>Sustainability Report</w:t>
      </w:r>
    </w:p>
    <w:p>
      <w:pPr>
        <w:jc w:val="center"/>
      </w:pPr>
      <w:r>
        <w:rPr>
          <w:rFonts w:ascii="Calibri" w:hAnsi="Calibri"/>
          <w:color w:val="2E86AB"/>
          <w:sz w:val="32"/>
        </w:rPr>
        <w:t>Horizon Retail Group | 2024</w:t>
      </w:r>
    </w:p>
    <w:p>
      <w:pPr>
        <w:jc w:val="center"/>
      </w:pPr>
      <w:r>
        <w:rPr>
          <w:rFonts w:ascii="Calibri" w:hAnsi="Calibri"/>
          <w:color w:val="808080"/>
          <w:sz w:val="22"/>
        </w:rPr>
      </w:r>
    </w:p>
    <w:p/>
    <w:p/>
    <w:p/>
    <w:p/>
    <w:p>
      <w:pPr>
        <w:jc w:val="center"/>
      </w:pPr>
      <w:r>
        <w:rPr>
          <w:color w:val="808080"/>
          <w:sz w:val="18"/>
        </w:rPr>
        <w:t>Prepared by: ASPIRE</w:t>
      </w:r>
    </w:p>
    <w:p>
      <w:pPr>
        <w:jc w:val="center"/>
      </w:pPr>
      <w:r>
        <w:rPr>
          <w:color w:val="808080"/>
          <w:sz w:val="18"/>
        </w:rPr>
        <w:t>Generated: 16 May 2026</w:t>
      </w:r>
    </w:p>
    <w:p/>
    <w:p/>
    <w:p>
      <w:pPr>
        <w:jc w:val="center"/>
      </w:pPr>
      <w:r>
        <w:rPr>
          <w:b/>
          <w:color w:val="C00000"/>
          <w:sz w:val="18"/>
        </w:rPr>
        <w:t>AI-ASSISTED DRAFT — FOR INTERNAL REVIEW ONLY</w:t>
        <w:br/>
        <w:t>All figures must be verified against source data before external publication.</w:t>
      </w:r>
    </w:p>
    <w:p>
      <w:r>
        <w:br w:type="page"/>
      </w:r>
    </w:p>
    <w:p>
      <w:pPr>
        <w:pStyle w:val="Heading1"/>
      </w:pPr>
      <w:r>
        <w:rPr>
          <w:color w:val="1F3864"/>
        </w:rPr>
        <w:t>About This Report</w:t>
      </w:r>
    </w:p>
    <w:p>
      <w:r>
        <w:rPr>
          <w:sz w:val="22"/>
        </w:rPr>
        <w:t>This sustainability report for Horizon Retail Group covers the reporting period ending 2024. It has been prepared in alignment with the Global Reporting Initiative (GRI) Standards and the Task Force on Climate-related Financial Disclosures (TCFD) recommendations.</w:t>
        <w:br/>
        <w:br/>
        <w:t>Report content was generated using a large language model (LLM) pipeline and automatically validated against source data to minimise numerical inaccuracies. A validation summary is included as an appendix. All figures should be independently verified before external publication.</w:t>
      </w:r>
    </w:p>
    <w:p>
      <w:r>
        <w:br w:type="page"/>
      </w:r>
    </w:p>
    <w:p>
      <w:pPr>
        <w:pStyle w:val="Heading1"/>
      </w:pPr>
      <w:r>
        <w:rPr>
          <w:color w:val="1F3864"/>
          <w:sz w:val="32"/>
        </w:rPr>
        <w:t>Company Overview &amp; Reporting Scope</w:t>
      </w:r>
    </w:p>
    <w:p>
      <w:r>
        <w:rPr>
          <w:i/>
          <w:color w:val="2E86AB"/>
          <w:sz w:val="18"/>
        </w:rPr>
        <w:t>GRI: GRI 2-1 | TCFD: Governance</w:t>
      </w:r>
    </w:p>
    <w:p>
      <w:pPr>
        <w:spacing w:after="160"/>
      </w:pPr>
      <w:r>
        <w:rPr>
          <w:rFonts w:ascii="Calibri" w:hAnsi="Calibri"/>
          <w:sz w:val="22"/>
        </w:rPr>
        <w:t>Horizon Retail Group is a retail and fast-moving consumer goods company operating in India. As of the reporting year 2024, the company has a total of 9,100 employees. The retail and FMCG industry is a significant sector in India, and Horizon Retail Group is a part of this landscape.</w:t>
      </w:r>
    </w:p>
    <w:p>
      <w:pPr>
        <w:spacing w:after="160"/>
      </w:pPr>
      <w:r>
        <w:rPr>
          <w:rFonts w:ascii="Calibri" w:hAnsi="Calibri"/>
          <w:sz w:val="22"/>
        </w:rPr>
        <w:t>The company's geographic presence is currently limited to India, with operations focused on serving the domestic market. This sustainability report covers the company's activities and performance for the reporting year 2024, within the boundaries of its Indian operations.</w:t>
      </w:r>
    </w:p>
    <w:p>
      <w:pPr>
        <w:spacing w:after="160"/>
      </w:pPr>
      <w:r>
        <w:rPr>
          <w:rFonts w:ascii="Calibri" w:hAnsi="Calibri"/>
          <w:sz w:val="22"/>
        </w:rPr>
        <w:t>The scope of this report includes an overview of the company's sustainability performance, governance structure, and environmental and social impacts. It is prepared in accordance with the GRI Standards, specifically GRI 2-1, and is aligned with the TCFD Pillar of Governance.</w:t>
      </w:r>
    </w:p>
    <w:p>
      <w:pPr>
        <w:spacing w:after="160"/>
      </w:pPr>
      <w:r>
        <w:rPr>
          <w:rFonts w:ascii="Calibri" w:hAnsi="Calibri"/>
          <w:sz w:val="22"/>
        </w:rPr>
        <w:t>Certain metrics, such as annual revenue in USD and the number of sites, are not available for this reporting period. These optional KPIs will be developed and disclosed in future reporting periods, providing a more comprehensive view of the company's performance.</w:t>
      </w:r>
    </w:p>
    <w:p>
      <w:pPr>
        <w:spacing w:after="160"/>
      </w:pPr>
      <w:r>
        <w:rPr>
          <w:rFonts w:ascii="Calibri" w:hAnsi="Calibri"/>
          <w:sz w:val="22"/>
        </w:rPr>
        <w:t>As a retail and FMCG company in India, Horizon Retail Group recognizes the importance of transparency and accountability in its sustainability reporting. This report aims to provide stakeholders with a factual and accurate account of the company's sustainability performance and progress.</w:t>
      </w:r>
    </w:p>
    <w:p>
      <w:pPr>
        <w:spacing w:after="160"/>
      </w:pPr>
      <w:r>
        <w:rPr>
          <w:rFonts w:ascii="Calibri" w:hAnsi="Calibri"/>
          <w:sz w:val="22"/>
        </w:rPr>
        <w:t>The company will continue to work on expanding its sustainability reporting scope and disclosure in the future. As the company moves forward, it will prioritize the development of key performance indicators to enhance the transparency and credibility of its sustainability reporting. The company will publish its next sustainability report in 2025, which will build on the foundations established in this report.</w:t>
      </w:r>
    </w:p>
    <w:p/>
    <w:p>
      <w:pPr>
        <w:pStyle w:val="Heading1"/>
      </w:pPr>
      <w:r>
        <w:rPr>
          <w:color w:val="1F3864"/>
          <w:sz w:val="32"/>
        </w:rPr>
        <w:t>Governance &amp; Sustainability Leadership</w:t>
      </w:r>
    </w:p>
    <w:p>
      <w:r>
        <w:rPr>
          <w:i/>
          <w:color w:val="2E86AB"/>
          <w:sz w:val="18"/>
        </w:rPr>
        <w:t>GRI: GRI 2-9 / GRI 2-12 | TCFD: Governance</w:t>
      </w:r>
    </w:p>
    <w:p>
      <w:pPr>
        <w:spacing w:after="160"/>
      </w:pPr>
      <w:r>
        <w:rPr>
          <w:rFonts w:ascii="Calibri" w:hAnsi="Calibri"/>
          <w:sz w:val="22"/>
        </w:rPr>
        <w:t>The board of Horizon Retail Group is composed of 9 members, with 2 of these positions held by females. In terms of independence, 44% of the board is made up of independent directors. The company's governance structure is designed to provide oversight of sustainability performance, with mechanisms in place to ensure executive accountability for environmental, social, and governance (ESG) issues.</w:t>
      </w:r>
    </w:p>
    <w:p>
      <w:pPr>
        <w:spacing w:after="160"/>
      </w:pPr>
      <w:r>
        <w:rPr>
          <w:rFonts w:ascii="Calibri" w:hAnsi="Calibri"/>
          <w:sz w:val="22"/>
        </w:rPr>
        <w:t>One aspect of executive accountability is the CEO pay ratio, which stands at 156, indicating the ratio of CEO pay to median employee pay. The company also prioritizes anti-corruption training, with 61% of relevant staff having undergone such training.</w:t>
      </w:r>
    </w:p>
    <w:p>
      <w:pPr>
        <w:spacing w:after="160"/>
      </w:pPr>
      <w:r>
        <w:rPr>
          <w:rFonts w:ascii="Calibri" w:hAnsi="Calibri"/>
          <w:sz w:val="22"/>
        </w:rPr>
        <w:t>In terms of supplier engagement, Horizon Retail Group recognizes the importance of promoting responsible practices throughout its supply chain. However, the company acknowledges a gap in this area, with only 52% of suppliers having adopted a code of conduct. To address this, the company has established a supplier engagement programme aimed at improving this figure. As part of this effort, 17 supplier audits were conducted, demonstrating the company's commitment to monitoring and enhancing supplier performance.</w:t>
      </w:r>
    </w:p>
    <w:p>
      <w:pPr>
        <w:spacing w:after="160"/>
      </w:pPr>
      <w:r>
        <w:rPr>
          <w:rFonts w:ascii="Calibri" w:hAnsi="Calibri"/>
          <w:sz w:val="22"/>
        </w:rPr>
        <w:t>The company's governance and sustainability leadership are critical to driving progress on ESG issues. While there are areas for improvement, such as increasing the percentage of suppliers with a code of conduct, the company is taking steps to address these gaps. Looking ahead, Horizon Retail Group will continue to prioritize supplier engagement and auditing, with a focus on conducting at least 17 supplier audits in the next reporting period to further promote responsible supply chain practices.</w:t>
      </w:r>
    </w:p>
    <w:p/>
    <w:p>
      <w:pPr>
        <w:pStyle w:val="Heading1"/>
      </w:pPr>
      <w:r>
        <w:rPr>
          <w:color w:val="1F3864"/>
          <w:sz w:val="32"/>
        </w:rPr>
        <w:t>Climate Strategy &amp; Risk Management</w:t>
      </w:r>
    </w:p>
    <w:p>
      <w:r>
        <w:rPr>
          <w:i/>
          <w:color w:val="2E86AB"/>
          <w:sz w:val="18"/>
        </w:rPr>
        <w:t>GRI: GRI 201-2 | TCFD: Strategy</w:t>
      </w:r>
    </w:p>
    <w:p>
      <w:pPr>
        <w:spacing w:after="160"/>
      </w:pPr>
      <w:r>
        <w:rPr>
          <w:rFonts w:ascii="Calibri" w:hAnsi="Calibri"/>
          <w:sz w:val="22"/>
        </w:rPr>
        <w:t>Horizon Retail Group acknowledges the importance of addressing climate change and is working to develop a comprehensive climate strategy. As of the 2024 reporting year, the company's Scope 1 emissions total 89,000 tonnes CO2 equivalent, while Scope 2 emissions amount to 54,000 tonnes CO2 equivalent. The majority of the company's emissions, however, fall under Scope 3, with a total of 780,000 tonnes CO2 equivalent.</w:t>
      </w:r>
    </w:p>
    <w:p>
      <w:pPr>
        <w:spacing w:after="160"/>
      </w:pPr>
      <w:r>
        <w:rPr>
          <w:rFonts w:ascii="Calibri" w:hAnsi="Calibri"/>
          <w:sz w:val="22"/>
        </w:rPr>
        <w:t>In terms of energy consumption, Horizon Retail Group utilized 412,000 MWh of energy during the reporting period. Unfortunately, the company's renewable energy share remains low, at 8% of total energy consumption. This highlights a significant gap in the company's transition to cleaner energy sources. The company acknowledges this shortfall and is working to establish renewable energy targets, recognizing the need to increase its renewable energy share to mitigate climate-related risks.</w:t>
      </w:r>
    </w:p>
    <w:p>
      <w:pPr>
        <w:spacing w:after="160"/>
      </w:pPr>
      <w:r>
        <w:rPr>
          <w:rFonts w:ascii="Calibri" w:hAnsi="Calibri"/>
          <w:sz w:val="22"/>
        </w:rPr>
        <w:t>Currently, Horizon Retail Group has not yet set formal climate targets, which is a priority area for development. The company is in the process of assessing its climate-related risks, including both physical and transition risks, in line with TCFD recommendations. This assessment will inform the development of the company's climate strategy and the establishment of short-term, medium-term, and long-term targets.</w:t>
      </w:r>
    </w:p>
    <w:p>
      <w:pPr>
        <w:spacing w:after="160"/>
      </w:pPr>
      <w:r>
        <w:rPr>
          <w:rFonts w:ascii="Calibri" w:hAnsi="Calibri"/>
          <w:sz w:val="22"/>
        </w:rPr>
        <w:t>As the company moves forward, it will focus on developing a robust climate strategy that addresses its significant Scope 3 emissions and low renewable energy share. The company will prioritize the establishment of formal climate targets and the development of a comprehensive risk management plan to mitigate climate-related risks. In the next reporting period, Horizon Retail Group will prioritize the development of a detailed climate action plan, which will include specific targets and initiatives to reduce its greenhouse gas emissions and increase its renewable energy share.</w:t>
      </w:r>
    </w:p>
    <w:p/>
    <w:p>
      <w:pPr>
        <w:pStyle w:val="Heading1"/>
      </w:pPr>
      <w:r>
        <w:rPr>
          <w:color w:val="1F3864"/>
          <w:sz w:val="32"/>
        </w:rPr>
        <w:t>Energy Consumption &amp; Efficiency</w:t>
      </w:r>
    </w:p>
    <w:p>
      <w:r>
        <w:rPr>
          <w:i/>
          <w:color w:val="2E86AB"/>
          <w:sz w:val="18"/>
        </w:rPr>
        <w:t>GRI: GRI 302-1 / GRI 302-4 | TCFD: Metrics &amp; Targets</w:t>
      </w:r>
    </w:p>
    <w:p>
      <w:pPr>
        <w:spacing w:after="160"/>
      </w:pPr>
      <w:r>
        <w:rPr>
          <w:rFonts w:ascii="Calibri" w:hAnsi="Calibri"/>
          <w:sz w:val="22"/>
        </w:rPr>
        <w:t>Horizon Retail Group's energy consumption for the reporting year 2024 totalled 412,000 MWh. The renewable energy share of the company's total energy consumption was 8%. This percentage is low, indicating a significant gap in the company's use of renewable energy sources. The company acknowledges this gap and is working to establish renewable energy targets to increase its share of renewable energy in the future.</w:t>
      </w:r>
    </w:p>
    <w:p>
      <w:pPr>
        <w:spacing w:after="160"/>
      </w:pPr>
      <w:r>
        <w:rPr>
          <w:rFonts w:ascii="Calibri" w:hAnsi="Calibri"/>
          <w:sz w:val="22"/>
        </w:rPr>
        <w:t>As the company's energy consumption data is only available for the current reporting year, no year-on-year trends can be reported at this time. The company recognizes the importance of tracking energy consumption over time to identify areas for improvement and will work to provide this information in future reports.</w:t>
      </w:r>
    </w:p>
    <w:p>
      <w:pPr>
        <w:spacing w:after="160"/>
      </w:pPr>
      <w:r>
        <w:rPr>
          <w:rFonts w:ascii="Calibri" w:hAnsi="Calibri"/>
          <w:sz w:val="22"/>
        </w:rPr>
        <w:t>In terms of energy efficiency initiatives, the company is committed to reducing its energy consumption and environmental impact. However, specific data on energy intensity per revenue, energy reduction versus baseline, and onsite solar generation are not available for this reporting period. These metrics will be developed and disclosed in future reporting periods, providing a more comprehensive understanding of the company's energy efficiency performance.</w:t>
      </w:r>
    </w:p>
    <w:p>
      <w:pPr>
        <w:spacing w:after="160"/>
      </w:pPr>
      <w:r>
        <w:rPr>
          <w:rFonts w:ascii="Calibri" w:hAnsi="Calibri"/>
          <w:sz w:val="22"/>
        </w:rPr>
        <w:t>The company's low renewable energy share highlights the need for targeted initiatives to increase the use of renewable energy sources. By establishing clear targets and tracking progress over time, Horizon Retail Group aims to reduce its reliance on non-renewable energy sources and decrease its environmental footprint. The company will continue to work towards improving its energy efficiency and renewable energy share, and looks forward to reporting on its progress in future sustainability reports. The company will prioritize the development of a comprehensive energy strategy in the next reporting period.</w:t>
      </w:r>
    </w:p>
    <w:p/>
    <w:p>
      <w:pPr>
        <w:pStyle w:val="Heading1"/>
      </w:pPr>
      <w:r>
        <w:rPr>
          <w:color w:val="1F3864"/>
          <w:sz w:val="32"/>
        </w:rPr>
        <w:t>Greenhouse Gas Emissions</w:t>
      </w:r>
    </w:p>
    <w:p>
      <w:r>
        <w:rPr>
          <w:i/>
          <w:color w:val="2E86AB"/>
          <w:sz w:val="18"/>
        </w:rPr>
        <w:t>GRI: GRI 305-1 / GRI 305-2 / GRI 305-3 | TCFD: Metrics &amp; Targets</w:t>
      </w:r>
    </w:p>
    <w:p>
      <w:pPr>
        <w:spacing w:after="160"/>
      </w:pPr>
      <w:r>
        <w:rPr>
          <w:rFonts w:ascii="Calibri" w:hAnsi="Calibri"/>
          <w:sz w:val="22"/>
        </w:rPr>
        <w:t>Horizon Retail Group's greenhouse gas emissions for the 2024 reporting year have been calculated in accordance with the GHG Protocol structure. The company's Scope 1 emissions, which include direct emissions from owned or controlled sources, totalled 89,000 tonnes CO2 equivalent. Scope 2 emissions, comprising indirect emissions from the generation of purchased energy, were 54,000 tonnes CO2 equivalent. The majority of the company's emissions fall under Scope 3, which encompasses indirect emissions from sources not owned or controlled by the company, with a total of 780,000 tonnes CO2 equivalent.</w:t>
      </w:r>
    </w:p>
    <w:p>
      <w:pPr>
        <w:spacing w:after="160"/>
      </w:pPr>
      <w:r>
        <w:rPr>
          <w:rFonts w:ascii="Calibri" w:hAnsi="Calibri"/>
          <w:sz w:val="22"/>
        </w:rPr>
        <w:t>The company's total greenhouse gas emissions for the reporting year are the sum of these scopes. The methodology used to calculate these emissions is in line with the GHG Protocol, although the specific methodology details are not available for this reporting period. Intensity metrics, such as emissions per revenue, are also not available for this reporting period, but the company plans to develop and disclose these metrics in future reports.</w:t>
      </w:r>
    </w:p>
    <w:p>
      <w:pPr>
        <w:spacing w:after="160"/>
      </w:pPr>
      <w:r>
        <w:rPr>
          <w:rFonts w:ascii="Calibri" w:hAnsi="Calibri"/>
          <w:sz w:val="22"/>
        </w:rPr>
        <w:t>The company's progress against reduction targets is not explicitly stated due to the absence of certain data points, including year-over-year emissions change percentage and carbon offset totals. However, the company is committed to transparency and will include these metrics in future reports to provide a more comprehensive picture of its greenhouse gas emissions performance. The total Scope 1, 2, and 3 emissions for 2024 are 923,000 tonnes CO2 equivalent. As the company moves forward, it will continue to monitor and report its greenhouse gas emissions, with the goal of providing a more detailed analysis of its emissions profile in the next reporting period.</w:t>
      </w:r>
    </w:p>
    <w:p/>
    <w:p>
      <w:pPr>
        <w:pStyle w:val="Heading1"/>
      </w:pPr>
      <w:r>
        <w:rPr>
          <w:color w:val="1F3864"/>
          <w:sz w:val="32"/>
        </w:rPr>
        <w:t>Water Stewardship</w:t>
      </w:r>
    </w:p>
    <w:p>
      <w:r>
        <w:rPr>
          <w:i/>
          <w:color w:val="2E86AB"/>
          <w:sz w:val="18"/>
        </w:rPr>
        <w:t>GRI: GRI 303-1 / GRI 303-3</w:t>
      </w:r>
    </w:p>
    <w:p>
      <w:pPr>
        <w:spacing w:after="160"/>
      </w:pPr>
      <w:r>
        <w:rPr>
          <w:rFonts w:ascii="Calibri" w:hAnsi="Calibri"/>
          <w:sz w:val="22"/>
        </w:rPr>
        <w:t>Horizon Retail Group acknowledges the importance of responsible water management in its operations. In 2024, the company withdrew 3,100,000 cubic metres of water to support its retail activities. Of this volume, 12% was recycled, demonstrating a modest level of water recycling efforts. While this recycling rate indicates some progress in reducing water consumption, there is room for improvement to minimize the company's water footprint.</w:t>
      </w:r>
    </w:p>
    <w:p>
      <w:pPr>
        <w:spacing w:after="160"/>
      </w:pPr>
      <w:r>
        <w:rPr>
          <w:rFonts w:ascii="Calibri" w:hAnsi="Calibri"/>
          <w:sz w:val="22"/>
        </w:rPr>
        <w:t>The company recognizes the need to better understand its water usage and impact, particularly in water-stressed areas. However, data on water stress is not currently available, and the company acknowledges this gap. To address this, a comprehensive water stress assessment is recommended as a next step to inform water stewardship strategies and identify areas where the company can focus its efforts to mitigate water-related risks.</w:t>
      </w:r>
    </w:p>
    <w:p>
      <w:pPr>
        <w:spacing w:after="160"/>
      </w:pPr>
      <w:r>
        <w:rPr>
          <w:rFonts w:ascii="Calibri" w:hAnsi="Calibri"/>
          <w:sz w:val="22"/>
        </w:rPr>
        <w:t>In future reports, the company plans to disclose additional metrics, including water intensity per revenue and the number of sites located in water-stressed areas, to provide a more detailed understanding of its water management performance. A water reduction target percentage will also be established and reported on in subsequent years, allowing for more effective tracking of progress towards water conservation goals.</w:t>
      </w:r>
    </w:p>
    <w:p>
      <w:pPr>
        <w:spacing w:after="160"/>
      </w:pPr>
      <w:r>
        <w:rPr>
          <w:rFonts w:ascii="Calibri" w:hAnsi="Calibri"/>
          <w:sz w:val="22"/>
        </w:rPr>
        <w:t>Horizon Retail Group is committed to enhancing its water stewardship programmes, with a focus on improving recycling rates and reducing overall water withdrawal. The company will continue to explore opportunities to optimize water use and minimize waste, recognizing the essential role that responsible water management plays in supporting its long-term sustainability. As the company moves forward, it will prioritize the development of a comprehensive water management strategy, starting with a thorough water stress assessment in the next reporting period.</w:t>
      </w:r>
    </w:p>
    <w:p/>
    <w:p>
      <w:pPr>
        <w:pStyle w:val="Heading1"/>
      </w:pPr>
      <w:r>
        <w:rPr>
          <w:color w:val="1F3864"/>
          <w:sz w:val="32"/>
        </w:rPr>
        <w:t>Waste Management &amp; Circular Economy</w:t>
      </w:r>
    </w:p>
    <w:p>
      <w:r>
        <w:rPr>
          <w:i/>
          <w:color w:val="2E86AB"/>
          <w:sz w:val="18"/>
        </w:rPr>
        <w:t>GRI: GRI 306-2 / GRI 306-3</w:t>
      </w:r>
    </w:p>
    <w:p>
      <w:pPr>
        <w:spacing w:after="160"/>
      </w:pPr>
      <w:r>
        <w:rPr>
          <w:rFonts w:ascii="Calibri" w:hAnsi="Calibri"/>
          <w:sz w:val="22"/>
        </w:rPr>
        <w:t>Horizon Retail Group generated a total of 24,600 tonnes of waste in the reporting period. Of this total, 41% was recycled. The company also handled 1,850 tonnes of hazardous waste. These figures provide a baseline understanding of the company's waste management practices and highlight areas for improvement.</w:t>
      </w:r>
    </w:p>
    <w:p>
      <w:pPr>
        <w:spacing w:after="160"/>
      </w:pPr>
      <w:r>
        <w:rPr>
          <w:rFonts w:ascii="Calibri" w:hAnsi="Calibri"/>
          <w:sz w:val="22"/>
        </w:rPr>
        <w:t>The recycling rate of 41% indicates that while a significant portion of waste is being diverted from landfill, there is still opportunity to increase this rate and reduce the environmental impacts associated with waste disposal. The company's handling of 1,850 tonnes of hazardous waste demonstrates its commitment to managing potentially harmful materials in a responsible manner.</w:t>
      </w:r>
    </w:p>
    <w:p>
      <w:pPr>
        <w:spacing w:after="160"/>
      </w:pPr>
      <w:r>
        <w:rPr>
          <w:rFonts w:ascii="Calibri" w:hAnsi="Calibri"/>
          <w:sz w:val="22"/>
        </w:rPr>
        <w:t>Regarding circular economy initiatives, the company is still in the process of developing and quantifying its efforts in this area. As such, specific data on circular economy initiatives is not available for this reporting period. However, the company recognizes the importance of adopting circular economy principles to reduce waste and promote sustainable consumption patterns. It is anticipated that future reports will include more detailed information on these initiatives, as well as additional metrics such as waste diverted from landfill and diversion rates.</w:t>
      </w:r>
    </w:p>
    <w:p>
      <w:pPr>
        <w:spacing w:after="160"/>
      </w:pPr>
      <w:r>
        <w:rPr>
          <w:rFonts w:ascii="Calibri" w:hAnsi="Calibri"/>
          <w:sz w:val="22"/>
        </w:rPr>
        <w:t>The company acknowledges the importance of transparency and accountability in its sustainability reporting and is committed to providing more comprehensive data on its waste management and circular economy practices in future reports. The optional KPIs of waste sent to landfill and diversion rate will be developed and disclosed in future reporting periods, providing a more complete picture of the company's waste management performance. The company will continue to focus on improving its waste management practices and exploring opportunities to adopt more circular economy approaches, with the goal of publishing a more detailed circular economy strategy in its next sustainability report.</w:t>
      </w:r>
    </w:p>
    <w:p/>
    <w:p>
      <w:pPr>
        <w:pStyle w:val="Heading1"/>
      </w:pPr>
      <w:r>
        <w:rPr>
          <w:color w:val="1F3864"/>
          <w:sz w:val="32"/>
        </w:rPr>
        <w:t>Workforce &amp; Human Capital</w:t>
      </w:r>
    </w:p>
    <w:p>
      <w:r>
        <w:rPr>
          <w:i/>
          <w:color w:val="2E86AB"/>
          <w:sz w:val="18"/>
        </w:rPr>
        <w:t>GRI: GRI 2-7 / GRI 401-1 / GRI 405-1</w:t>
      </w:r>
    </w:p>
    <w:p>
      <w:pPr>
        <w:spacing w:after="160"/>
      </w:pPr>
      <w:r>
        <w:rPr>
          <w:rFonts w:ascii="Calibri" w:hAnsi="Calibri"/>
          <w:sz w:val="22"/>
        </w:rPr>
        <w:t>Horizon Retail Group's workforce composition is a critical aspect of its sustainability performance. As of the reporting period, the company employs a total of 9,100 people. In terms of gender diversity, 38% of the total workforce is female. The company acknowledges that there is room for improvement in this area and will continue to monitor and report on diversity metrics.</w:t>
      </w:r>
    </w:p>
    <w:p>
      <w:pPr>
        <w:spacing w:after="160"/>
      </w:pPr>
      <w:r>
        <w:rPr>
          <w:rFonts w:ascii="Calibri" w:hAnsi="Calibri"/>
          <w:sz w:val="22"/>
        </w:rPr>
        <w:t>Employee turnover is a significant challenge for the company, with an annual turnover rate of 31.7%. This figure is substantially higher than industry norms, and the company recognizes it as a major workforce retention challenge. To address the root causes of this issue, the company is undertaking initiatives to improve employee engagement and retention. However, specific details on these initiatives are not available at this time.</w:t>
      </w:r>
    </w:p>
    <w:p>
      <w:pPr>
        <w:spacing w:after="160"/>
      </w:pPr>
      <w:r>
        <w:rPr>
          <w:rFonts w:ascii="Calibri" w:hAnsi="Calibri"/>
          <w:sz w:val="22"/>
        </w:rPr>
        <w:t>In terms of hiring trends, the company has added 1,420 new employees during the reporting period. This influx of new talent is expected to bring fresh perspectives and ideas to the organization. To support the development of its employees, the company has invested in training programs, providing an average of 11.2 training hours per employee per year.</w:t>
      </w:r>
    </w:p>
    <w:p>
      <w:pPr>
        <w:spacing w:after="160"/>
      </w:pPr>
      <w:r>
        <w:rPr>
          <w:rFonts w:ascii="Calibri" w:hAnsi="Calibri"/>
          <w:sz w:val="22"/>
        </w:rPr>
        <w:t>The company notes that certain workforce metrics, such as the number of part-time employees and union membership percentage, are not available for this reporting period. These metrics will be developed and disclosed in future reporting periods, providing a more comprehensive picture of the company's workforce composition and human capital development initiatives. Looking ahead, the company will continue to focus on improving employee retention and developing its human capital, with a goal of reducing employee turnover to below 30% in the next calendar year.</w:t>
      </w:r>
    </w:p>
    <w:p/>
    <w:p>
      <w:pPr>
        <w:pStyle w:val="Heading1"/>
      </w:pPr>
      <w:r>
        <w:rPr>
          <w:color w:val="1F3864"/>
          <w:sz w:val="32"/>
        </w:rPr>
        <w:t>Occupational Health &amp; Safety</w:t>
      </w:r>
    </w:p>
    <w:p>
      <w:r>
        <w:rPr>
          <w:i/>
          <w:color w:val="2E86AB"/>
          <w:sz w:val="18"/>
        </w:rPr>
        <w:t>GRI: GRI 403-2 / GRI 403-9</w:t>
      </w:r>
    </w:p>
    <w:p>
      <w:pPr>
        <w:spacing w:after="160"/>
      </w:pPr>
      <w:r>
        <w:rPr>
          <w:rFonts w:ascii="Calibri" w:hAnsi="Calibri"/>
          <w:sz w:val="22"/>
        </w:rPr>
        <w:t>Horizon Retail Group is committed to providing a safe working environment for all its employees. Unfortunately, the company experienced a material safety event during the reporting period, with 1 work-related fatality. The company acknowledges this incident with the utmost seriousness and solemnity, and extends its deepest condolences to the family and loved ones of the deceased. A thorough investigation into the incident has been conducted, and corrective actions are being implemented to prevent such incidents from occurring in the future. The company is committed to learning from this tragedy and to taking all necessary steps to ensure the safety and well-being of its employees.</w:t>
      </w:r>
    </w:p>
    <w:p>
      <w:pPr>
        <w:spacing w:after="160"/>
      </w:pPr>
      <w:r>
        <w:rPr>
          <w:rFonts w:ascii="Calibri" w:hAnsi="Calibri"/>
          <w:sz w:val="22"/>
        </w:rPr>
        <w:t>In addition to this fatality, the company reported 22 work-related injuries during the reporting period. This elevated injury count is a concern, and the company is taking proactive measures to address it. The safety management system is being reviewed and enhanced to identify areas for improvement and to implement more effective safety protocols. The company is also committed to providing its employees with regular training and education on safety procedures and best practices. In this regard, the company provided an average of 11.2 training hours per employee per year, demonstrating its commitment to employee safety and development.</w:t>
      </w:r>
    </w:p>
    <w:p>
      <w:pPr>
        <w:spacing w:after="160"/>
      </w:pPr>
      <w:r>
        <w:rPr>
          <w:rFonts w:ascii="Calibri" w:hAnsi="Calibri"/>
          <w:sz w:val="22"/>
        </w:rPr>
        <w:t>The company recognizes that there are areas where it can improve its safety performance, and it is working to address these gaps. Some metrics, such as lost time injury frequency rate, near miss incidents, and occupational illness rate, are not available for this reporting period, but will be included in future reports to provide a more comprehensive picture of the company's safety performance. As the company moves forward, it will continue to prioritize the safety and well-being of its employees, and will take concrete steps to reduce the risk of injuries and fatalities in the workplace. The company will conduct a comprehensive review of its safety management system in the next quarter to identify opportunities for improvement.</w:t>
      </w:r>
    </w:p>
    <w:p/>
    <w:p>
      <w:pPr>
        <w:pStyle w:val="Heading1"/>
      </w:pPr>
      <w:r>
        <w:rPr>
          <w:color w:val="1F3864"/>
          <w:sz w:val="32"/>
        </w:rPr>
        <w:t>Diversity, Equity &amp; Inclusion</w:t>
      </w:r>
    </w:p>
    <w:p>
      <w:r>
        <w:rPr>
          <w:i/>
          <w:color w:val="2E86AB"/>
          <w:sz w:val="18"/>
        </w:rPr>
        <w:t>GRI: GRI 405-1 / GRI 406-1</w:t>
      </w:r>
    </w:p>
    <w:p>
      <w:pPr>
        <w:spacing w:after="160"/>
      </w:pPr>
      <w:r>
        <w:rPr>
          <w:rFonts w:ascii="Calibri" w:hAnsi="Calibri"/>
          <w:sz w:val="22"/>
        </w:rPr>
        <w:t>Horizon Retail Group's workforce composition reflects a mix of male and female employees, with females accounting for 38% of the total workforce and males making up the remaining 62%. At the board level, there are 2 female members. The company acknowledges that these figures indicate a gap between its current state and best practice in terms of achieving a more balanced representation of gender.</w:t>
      </w:r>
    </w:p>
    <w:p>
      <w:pPr>
        <w:spacing w:after="160"/>
      </w:pPr>
      <w:r>
        <w:rPr>
          <w:rFonts w:ascii="Calibri" w:hAnsi="Calibri"/>
          <w:sz w:val="22"/>
        </w:rPr>
        <w:t>The company recognizes the importance of diversity, equity, and inclusion in the workplace and is committed to addressing the disparities that exist. However, for this reporting period, certain metrics that would provide a more comprehensive understanding of the company's diversity and inclusion efforts are not available. Specifically, data on the percentage of female senior managers, ethnically diverse employees, pay gap, discrimination incidents, and DEI programmes are not included in this report. These metrics will be developed and disclosed in future reporting periods, providing a more detailed insight into the company's progress in these areas.</w:t>
      </w:r>
    </w:p>
    <w:p>
      <w:pPr>
        <w:spacing w:after="160"/>
      </w:pPr>
      <w:r>
        <w:rPr>
          <w:rFonts w:ascii="Calibri" w:hAnsi="Calibri"/>
          <w:sz w:val="22"/>
        </w:rPr>
        <w:t>The presence of 2 female board members is a positive aspect of the company's governance structure, but the overall gender balance in the workforce suggests that there is still work to be done to achieve greater parity. The company will continue to focus on creating an inclusive work environment and addressing the gaps that exist in its diversity and inclusion metrics. As the company moves forward, it will prioritize the collection and reporting of more comprehensive diversity and inclusion data to better understand its strengths and weaknesses in this area. The company will use the data collected in the next reporting period to inform its diversity and inclusion strategy and make targeted improvements.</w:t>
      </w:r>
    </w:p>
    <w:p/>
    <w:p>
      <w:pPr>
        <w:pStyle w:val="Heading1"/>
      </w:pPr>
      <w:r>
        <w:rPr>
          <w:color w:val="1F3864"/>
          <w:sz w:val="32"/>
        </w:rPr>
        <w:t>Community Investment &amp; Business Ethics</w:t>
      </w:r>
    </w:p>
    <w:p>
      <w:r>
        <w:rPr>
          <w:i/>
          <w:color w:val="2E86AB"/>
          <w:sz w:val="18"/>
        </w:rPr>
        <w:t>GRI: GRI 205-1 / GRI 413-1</w:t>
      </w:r>
    </w:p>
    <w:p>
      <w:pPr>
        <w:spacing w:after="160"/>
      </w:pPr>
      <w:r>
        <w:rPr>
          <w:rFonts w:ascii="Calibri" w:hAnsi="Calibri"/>
          <w:sz w:val="22"/>
        </w:rPr>
        <w:t>Horizon Retail Group acknowledges the importance of community investment and business ethics in its sustainability strategy. During the reporting period, the company invested USD 580,000 in community investment programmes, demonstrating its commitment to giving back to the communities it operates in. The company also conducted 17 supplier audits to ensure compliance with its ESG expectations, underscoring its dedication to responsible sourcing practices.</w:t>
      </w:r>
    </w:p>
    <w:p>
      <w:pPr>
        <w:spacing w:after="160"/>
      </w:pPr>
      <w:r>
        <w:rPr>
          <w:rFonts w:ascii="Calibri" w:hAnsi="Calibri"/>
          <w:sz w:val="22"/>
        </w:rPr>
        <w:t>However, the company recognises that there is room for improvement in its supplier engagement programme. Currently, only 52% of suppliers have adopted a code of conduct, highlighting a gap that the company is actively working to address. To improve this figure, Horizon Retail Group has established a supplier engagement programme aimed at encouraging more suppliers to adopt codes of conduct and adhere to the company's ESG expectations.</w:t>
      </w:r>
    </w:p>
    <w:p>
      <w:pPr>
        <w:spacing w:after="160"/>
      </w:pPr>
      <w:r>
        <w:rPr>
          <w:rFonts w:ascii="Calibri" w:hAnsi="Calibri"/>
          <w:sz w:val="22"/>
        </w:rPr>
        <w:t>In terms of anti-corruption controls, 61% of relevant staff received training during the reporting period, equipping them with the knowledge and skills necessary to identify and prevent corrupt practices. The company is committed to maintaining a corruption-free environment and will continue to enhance its anti-corruption measures.</w:t>
      </w:r>
    </w:p>
    <w:p>
      <w:pPr>
        <w:spacing w:after="160"/>
      </w:pPr>
      <w:r>
        <w:rPr>
          <w:rFonts w:ascii="Calibri" w:hAnsi="Calibri"/>
          <w:sz w:val="22"/>
        </w:rPr>
        <w:t>Unfortunately, the company experienced 3 data breaches during the reporting period, as required to be disclosed under GRI 418-1. The company takes these incidents seriously and has taken remedial action to address the breaches. Measures have been implemented to prevent recurrence, including enhanced security protocols and employee training. The company is committed to transparency and will continue to disclose data breaches in accordance with GRI 418-1.</w:t>
      </w:r>
    </w:p>
    <w:p>
      <w:pPr>
        <w:spacing w:after="160"/>
      </w:pPr>
      <w:r>
        <w:rPr>
          <w:rFonts w:ascii="Calibri" w:hAnsi="Calibri"/>
          <w:sz w:val="22"/>
        </w:rPr>
        <w:t>Looking ahead, Horizon Retail Group will continue to develop its community investment and business ethics programmes, with a focus on increasing the percentage of suppliers with codes of conduct and enhancing its anti-corruption controls, and will include additional metrics such as volunteer hours and human rights assessments in future reports.</w:t>
      </w:r>
    </w:p>
    <w:p/>
    <w:p>
      <w:pPr>
        <w:pStyle w:val="Heading1"/>
      </w:pPr>
      <w:r>
        <w:rPr>
          <w:color w:val="1F3864"/>
          <w:sz w:val="32"/>
        </w:rPr>
        <w:t>Sustainability Targets &amp; Forward Outlook</w:t>
      </w:r>
    </w:p>
    <w:p>
      <w:r>
        <w:rPr>
          <w:i/>
          <w:color w:val="2E86AB"/>
          <w:sz w:val="18"/>
        </w:rPr>
        <w:t>GRI: GRI 2-29 / TCFD Metrics &amp; Targets | TCFD: Metrics &amp; Targets</w:t>
      </w:r>
    </w:p>
    <w:p>
      <w:pPr>
        <w:spacing w:after="160"/>
      </w:pPr>
      <w:r>
        <w:rPr>
          <w:rFonts w:ascii="Calibri" w:hAnsi="Calibri"/>
          <w:sz w:val="22"/>
        </w:rPr>
        <w:t>As of the reporting period, the company has not yet formalised quantitative sustainability targets. Establishing science-based targets is identified as a priority for the forthcoming period. In the absence of formal targets, the company's current sustainability performance is characterised by a renewable energy share of 8% of total energy, which is acknowledged as low. The company recognises the need to increase its renewable energy share and is working to establish renewable energy targets, which will be disclosed in future reporting periods.</w:t>
      </w:r>
    </w:p>
    <w:p>
      <w:pPr>
        <w:spacing w:after="160"/>
      </w:pPr>
      <w:r>
        <w:rPr>
          <w:rFonts w:ascii="Calibri" w:hAnsi="Calibri"/>
          <w:sz w:val="22"/>
        </w:rPr>
        <w:t>The company's greenhouse gas emissions profile for the reporting year 2024 comprises Scope 1 emissions of 89,000 tonnes CO2 equivalent, Scope 2 emissions of 54,000 tonnes CO2 equivalent, and Scope 3 emissions of 780,000 tonnes CO2 equivalent. These emissions figures highlight the significance of addressing the company's environmental footprint. However, without established targets, it is challenging to assess progress towards reducing emissions.</w:t>
      </w:r>
    </w:p>
    <w:p>
      <w:pPr>
        <w:spacing w:after="160"/>
      </w:pPr>
      <w:r>
        <w:rPr>
          <w:rFonts w:ascii="Calibri" w:hAnsi="Calibri"/>
          <w:sz w:val="22"/>
        </w:rPr>
        <w:t>The company notes that several key sustainability metrics, including net zero target year, renewable energy target percentage, water reduction target percentage, and waste diversion target percentage, as well as science-based targets, are not available for this reporting period. These metrics will be developed and disclosed in future reports, providing a more comprehensive overview of the company's sustainability performance and progress.</w:t>
      </w:r>
    </w:p>
    <w:p>
      <w:pPr>
        <w:spacing w:after="160"/>
      </w:pPr>
      <w:r>
        <w:rPr>
          <w:rFonts w:ascii="Calibri" w:hAnsi="Calibri"/>
          <w:sz w:val="22"/>
        </w:rPr>
        <w:t>In conclusion, while the company has not yet established formal sustainability targets, it is committed to addressing its environmental impact. The company will focus on developing and disclosing key sustainability metrics and targets in the forthcoming period. As the company moves forward, it will prioritise establishing a framework for science-based targets, with the goal of disclosing its first set of science-based targets in its next sustainability report.</w:t>
      </w:r>
    </w:p>
    <w:p/>
    <w:p>
      <w:r>
        <w:br w:type="page"/>
      </w:r>
    </w:p>
    <w:p>
      <w:pPr>
        <w:pStyle w:val="Heading1"/>
      </w:pPr>
      <w:r>
        <w:rPr>
          <w:color w:val="1F3864"/>
        </w:rPr>
        <w:t>Appendix: Validation Summary</w:t>
      </w:r>
    </w:p>
    <w:p>
      <w:r>
        <w:rPr>
          <w:sz w:val="22"/>
        </w:rPr>
        <w:t>The table below summarises the automated validation check performed on all LLM-generated content. Each numeric value in the report was cross-checked against the source CSV data within a 5% tolerance threshold. Flagged values require human review before publication.</w:t>
      </w:r>
    </w:p>
    <w:p/>
    <w:tbl>
      <w:tblPr>
        <w:tblStyle w:val="TableGrid"/>
        <w:tblW w:type="auto" w:w="0"/>
        <w:tblLook w:firstColumn="1" w:firstRow="1" w:lastColumn="0" w:lastRow="0" w:noHBand="0" w:noVBand="1" w:val="04A0"/>
      </w:tblPr>
      <w:tblGrid>
        <w:gridCol w:w="2266"/>
        <w:gridCol w:w="2266"/>
        <w:gridCol w:w="2266"/>
        <w:gridCol w:w="2266"/>
      </w:tblGrid>
      <w:tr>
        <w:tc>
          <w:tcPr>
            <w:tcW w:type="dxa" w:w="2266"/>
            <w:shd w:fill="1F3864" w:color="FFFFFF" w:val="clear"/>
          </w:tcPr>
          <w:p>
            <w:r>
              <w:rPr>
                <w:b/>
                <w:color w:val="FFFFFF"/>
                <w:sz w:val="18"/>
              </w:rPr>
              <w:t>Section</w:t>
            </w:r>
          </w:p>
        </w:tc>
        <w:tc>
          <w:tcPr>
            <w:tcW w:type="dxa" w:w="2266"/>
            <w:shd w:fill="1F3864" w:color="FFFFFF" w:val="clear"/>
          </w:tcPr>
          <w:p>
            <w:r>
              <w:rPr>
                <w:b/>
                <w:color w:val="FFFFFF"/>
                <w:sz w:val="18"/>
              </w:rPr>
              <w:t>Numbers Checked</w:t>
            </w:r>
          </w:p>
        </w:tc>
        <w:tc>
          <w:tcPr>
            <w:tcW w:type="dxa" w:w="2266"/>
            <w:shd w:fill="1F3864" w:color="FFFFFF" w:val="clear"/>
          </w:tcPr>
          <w:p>
            <w:r>
              <w:rPr>
                <w:b/>
                <w:color w:val="FFFFFF"/>
                <w:sz w:val="18"/>
              </w:rPr>
              <w:t>Flags Raised</w:t>
            </w:r>
          </w:p>
        </w:tc>
        <w:tc>
          <w:tcPr>
            <w:tcW w:type="dxa" w:w="2266"/>
            <w:shd w:fill="1F3864" w:color="FFFFFF" w:val="clear"/>
          </w:tcPr>
          <w:p>
            <w:r>
              <w:rPr>
                <w:b/>
                <w:color w:val="FFFFFF"/>
                <w:sz w:val="18"/>
              </w:rPr>
              <w:t>Status</w:t>
            </w:r>
          </w:p>
        </w:tc>
      </w:tr>
      <w:tr>
        <w:tc>
          <w:tcPr>
            <w:tcW w:type="dxa" w:w="2266"/>
          </w:tcPr>
          <w:p>
            <w:r>
              <w:rPr>
                <w:sz w:val="18"/>
              </w:rPr>
              <w:t>Company Overview &amp; Reporting Scope</w:t>
            </w:r>
          </w:p>
        </w:tc>
        <w:tc>
          <w:tcPr>
            <w:tcW w:type="dxa" w:w="2266"/>
          </w:tcPr>
          <w:p>
            <w:r>
              <w:rPr>
                <w:sz w:val="18"/>
              </w:rPr>
              <w:t>1</w:t>
            </w:r>
          </w:p>
        </w:tc>
        <w:tc>
          <w:tcPr>
            <w:tcW w:type="dxa" w:w="2266"/>
          </w:tcPr>
          <w:p>
            <w:r>
              <w:rPr>
                <w:sz w:val="18"/>
              </w:rPr>
              <w:t>0</w:t>
            </w:r>
          </w:p>
        </w:tc>
        <w:tc>
          <w:tcPr>
            <w:tcW w:type="dxa" w:w="2266"/>
          </w:tcPr>
          <w:p>
            <w:r>
              <w:rPr>
                <w:sz w:val="18"/>
              </w:rPr>
              <w:t>PASS ✓</w:t>
            </w:r>
          </w:p>
        </w:tc>
      </w:tr>
      <w:tr>
        <w:tc>
          <w:tcPr>
            <w:tcW w:type="dxa" w:w="2266"/>
          </w:tcPr>
          <w:p>
            <w:r>
              <w:rPr>
                <w:sz w:val="18"/>
              </w:rPr>
              <w:t>Governance &amp; Sustainability Leadership</w:t>
            </w:r>
          </w:p>
        </w:tc>
        <w:tc>
          <w:tcPr>
            <w:tcW w:type="dxa" w:w="2266"/>
          </w:tcPr>
          <w:p>
            <w:r>
              <w:rPr>
                <w:sz w:val="18"/>
              </w:rPr>
              <w:t>5</w:t>
            </w:r>
          </w:p>
        </w:tc>
        <w:tc>
          <w:tcPr>
            <w:tcW w:type="dxa" w:w="2266"/>
          </w:tcPr>
          <w:p>
            <w:r>
              <w:rPr>
                <w:sz w:val="18"/>
              </w:rPr>
              <w:t>0</w:t>
            </w:r>
          </w:p>
        </w:tc>
        <w:tc>
          <w:tcPr>
            <w:tcW w:type="dxa" w:w="2266"/>
          </w:tcPr>
          <w:p>
            <w:r>
              <w:rPr>
                <w:sz w:val="18"/>
              </w:rPr>
              <w:t>PASS ✓</w:t>
            </w:r>
          </w:p>
        </w:tc>
      </w:tr>
      <w:tr>
        <w:tc>
          <w:tcPr>
            <w:tcW w:type="dxa" w:w="2266"/>
          </w:tcPr>
          <w:p>
            <w:r>
              <w:rPr>
                <w:sz w:val="18"/>
              </w:rPr>
              <w:t>Climate Strategy &amp; Risk Management</w:t>
            </w:r>
          </w:p>
        </w:tc>
        <w:tc>
          <w:tcPr>
            <w:tcW w:type="dxa" w:w="2266"/>
          </w:tcPr>
          <w:p>
            <w:r>
              <w:rPr>
                <w:sz w:val="18"/>
              </w:rPr>
              <w:t>4</w:t>
            </w:r>
          </w:p>
        </w:tc>
        <w:tc>
          <w:tcPr>
            <w:tcW w:type="dxa" w:w="2266"/>
          </w:tcPr>
          <w:p>
            <w:r>
              <w:rPr>
                <w:sz w:val="18"/>
              </w:rPr>
              <w:t>0</w:t>
            </w:r>
          </w:p>
        </w:tc>
        <w:tc>
          <w:tcPr>
            <w:tcW w:type="dxa" w:w="2266"/>
          </w:tcPr>
          <w:p>
            <w:r>
              <w:rPr>
                <w:sz w:val="18"/>
              </w:rPr>
              <w:t>PASS ✓</w:t>
            </w:r>
          </w:p>
        </w:tc>
      </w:tr>
      <w:tr>
        <w:tc>
          <w:tcPr>
            <w:tcW w:type="dxa" w:w="2266"/>
          </w:tcPr>
          <w:p>
            <w:r>
              <w:rPr>
                <w:sz w:val="18"/>
              </w:rPr>
              <w:t>Energy Consumption &amp; Efficiency</w:t>
            </w:r>
          </w:p>
        </w:tc>
        <w:tc>
          <w:tcPr>
            <w:tcW w:type="dxa" w:w="2266"/>
          </w:tcPr>
          <w:p>
            <w:r>
              <w:rPr>
                <w:sz w:val="18"/>
              </w:rPr>
              <w:t>1</w:t>
            </w:r>
          </w:p>
        </w:tc>
        <w:tc>
          <w:tcPr>
            <w:tcW w:type="dxa" w:w="2266"/>
          </w:tcPr>
          <w:p>
            <w:r>
              <w:rPr>
                <w:sz w:val="18"/>
              </w:rPr>
              <w:t>0</w:t>
            </w:r>
          </w:p>
        </w:tc>
        <w:tc>
          <w:tcPr>
            <w:tcW w:type="dxa" w:w="2266"/>
          </w:tcPr>
          <w:p>
            <w:r>
              <w:rPr>
                <w:sz w:val="18"/>
              </w:rPr>
              <w:t>PASS ✓</w:t>
            </w:r>
          </w:p>
        </w:tc>
      </w:tr>
      <w:tr>
        <w:tc>
          <w:tcPr>
            <w:tcW w:type="dxa" w:w="2266"/>
          </w:tcPr>
          <w:p>
            <w:r>
              <w:rPr>
                <w:sz w:val="18"/>
              </w:rPr>
              <w:t>Greenhouse Gas Emissions</w:t>
            </w:r>
          </w:p>
        </w:tc>
        <w:tc>
          <w:tcPr>
            <w:tcW w:type="dxa" w:w="2266"/>
          </w:tcPr>
          <w:p>
            <w:r>
              <w:rPr>
                <w:sz w:val="18"/>
              </w:rPr>
              <w:t>4</w:t>
            </w:r>
          </w:p>
        </w:tc>
        <w:tc>
          <w:tcPr>
            <w:tcW w:type="dxa" w:w="2266"/>
          </w:tcPr>
          <w:p>
            <w:r>
              <w:rPr>
                <w:sz w:val="18"/>
              </w:rPr>
              <w:t>1</w:t>
            </w:r>
          </w:p>
        </w:tc>
        <w:tc>
          <w:tcPr>
            <w:tcW w:type="dxa" w:w="2266"/>
          </w:tcPr>
          <w:p>
            <w:r>
              <w:rPr>
                <w:color w:val="C00000"/>
                <w:sz w:val="18"/>
              </w:rPr>
              <w:t>REVIEW ⚠</w:t>
            </w:r>
          </w:p>
        </w:tc>
      </w:tr>
      <w:tr>
        <w:tc>
          <w:tcPr>
            <w:tcW w:type="dxa" w:w="2266"/>
          </w:tcPr>
          <w:p>
            <w:r>
              <w:rPr>
                <w:sz w:val="18"/>
              </w:rPr>
              <w:t>Water Stewardship</w:t>
            </w:r>
          </w:p>
        </w:tc>
        <w:tc>
          <w:tcPr>
            <w:tcW w:type="dxa" w:w="2266"/>
          </w:tcPr>
          <w:p>
            <w:r>
              <w:rPr>
                <w:sz w:val="18"/>
              </w:rPr>
              <w:t>2</w:t>
            </w:r>
          </w:p>
        </w:tc>
        <w:tc>
          <w:tcPr>
            <w:tcW w:type="dxa" w:w="2266"/>
          </w:tcPr>
          <w:p>
            <w:r>
              <w:rPr>
                <w:sz w:val="18"/>
              </w:rPr>
              <w:t>0</w:t>
            </w:r>
          </w:p>
        </w:tc>
        <w:tc>
          <w:tcPr>
            <w:tcW w:type="dxa" w:w="2266"/>
          </w:tcPr>
          <w:p>
            <w:r>
              <w:rPr>
                <w:sz w:val="18"/>
              </w:rPr>
              <w:t>PASS ✓</w:t>
            </w:r>
          </w:p>
        </w:tc>
      </w:tr>
      <w:tr>
        <w:tc>
          <w:tcPr>
            <w:tcW w:type="dxa" w:w="2266"/>
          </w:tcPr>
          <w:p>
            <w:r>
              <w:rPr>
                <w:sz w:val="18"/>
              </w:rPr>
              <w:t>Waste Management &amp; Circular Economy</w:t>
            </w:r>
          </w:p>
        </w:tc>
        <w:tc>
          <w:tcPr>
            <w:tcW w:type="dxa" w:w="2266"/>
          </w:tcPr>
          <w:p>
            <w:r>
              <w:rPr>
                <w:sz w:val="18"/>
              </w:rPr>
              <w:t>5</w:t>
            </w:r>
          </w:p>
        </w:tc>
        <w:tc>
          <w:tcPr>
            <w:tcW w:type="dxa" w:w="2266"/>
          </w:tcPr>
          <w:p>
            <w:r>
              <w:rPr>
                <w:sz w:val="18"/>
              </w:rPr>
              <w:t>0</w:t>
            </w:r>
          </w:p>
        </w:tc>
        <w:tc>
          <w:tcPr>
            <w:tcW w:type="dxa" w:w="2266"/>
          </w:tcPr>
          <w:p>
            <w:r>
              <w:rPr>
                <w:sz w:val="18"/>
              </w:rPr>
              <w:t>PASS ✓</w:t>
            </w:r>
          </w:p>
        </w:tc>
      </w:tr>
      <w:tr>
        <w:tc>
          <w:tcPr>
            <w:tcW w:type="dxa" w:w="2266"/>
          </w:tcPr>
          <w:p>
            <w:r>
              <w:rPr>
                <w:sz w:val="18"/>
              </w:rPr>
              <w:t>Workforce &amp; Human Capital</w:t>
            </w:r>
          </w:p>
        </w:tc>
        <w:tc>
          <w:tcPr>
            <w:tcW w:type="dxa" w:w="2266"/>
          </w:tcPr>
          <w:p>
            <w:r>
              <w:rPr>
                <w:sz w:val="18"/>
              </w:rPr>
              <w:t>6</w:t>
            </w:r>
          </w:p>
        </w:tc>
        <w:tc>
          <w:tcPr>
            <w:tcW w:type="dxa" w:w="2266"/>
          </w:tcPr>
          <w:p>
            <w:r>
              <w:rPr>
                <w:sz w:val="18"/>
              </w:rPr>
              <w:t>1</w:t>
            </w:r>
          </w:p>
        </w:tc>
        <w:tc>
          <w:tcPr>
            <w:tcW w:type="dxa" w:w="2266"/>
          </w:tcPr>
          <w:p>
            <w:r>
              <w:rPr>
                <w:color w:val="C00000"/>
                <w:sz w:val="18"/>
              </w:rPr>
              <w:t>REVIEW ⚠</w:t>
            </w:r>
          </w:p>
        </w:tc>
      </w:tr>
      <w:tr>
        <w:tc>
          <w:tcPr>
            <w:tcW w:type="dxa" w:w="2266"/>
          </w:tcPr>
          <w:p>
            <w:r>
              <w:rPr>
                <w:sz w:val="18"/>
              </w:rPr>
              <w:t>Occupational Health &amp; Safety</w:t>
            </w:r>
          </w:p>
        </w:tc>
        <w:tc>
          <w:tcPr>
            <w:tcW w:type="dxa" w:w="2266"/>
          </w:tcPr>
          <w:p>
            <w:r>
              <w:rPr>
                <w:sz w:val="18"/>
              </w:rPr>
              <w:t>2</w:t>
            </w:r>
          </w:p>
        </w:tc>
        <w:tc>
          <w:tcPr>
            <w:tcW w:type="dxa" w:w="2266"/>
          </w:tcPr>
          <w:p>
            <w:r>
              <w:rPr>
                <w:sz w:val="18"/>
              </w:rPr>
              <w:t>0</w:t>
            </w:r>
          </w:p>
        </w:tc>
        <w:tc>
          <w:tcPr>
            <w:tcW w:type="dxa" w:w="2266"/>
          </w:tcPr>
          <w:p>
            <w:r>
              <w:rPr>
                <w:sz w:val="18"/>
              </w:rPr>
              <w:t>PASS ✓</w:t>
            </w:r>
          </w:p>
        </w:tc>
      </w:tr>
      <w:tr>
        <w:tc>
          <w:tcPr>
            <w:tcW w:type="dxa" w:w="2266"/>
          </w:tcPr>
          <w:p>
            <w:r>
              <w:rPr>
                <w:sz w:val="18"/>
              </w:rPr>
              <w:t>Diversity, Equity &amp; Inclusion</w:t>
            </w:r>
          </w:p>
        </w:tc>
        <w:tc>
          <w:tcPr>
            <w:tcW w:type="dxa" w:w="2266"/>
          </w:tcPr>
          <w:p>
            <w:r>
              <w:rPr>
                <w:sz w:val="18"/>
              </w:rPr>
              <w:t>2</w:t>
            </w:r>
          </w:p>
        </w:tc>
        <w:tc>
          <w:tcPr>
            <w:tcW w:type="dxa" w:w="2266"/>
          </w:tcPr>
          <w:p>
            <w:r>
              <w:rPr>
                <w:sz w:val="18"/>
              </w:rPr>
              <w:t>0</w:t>
            </w:r>
          </w:p>
        </w:tc>
        <w:tc>
          <w:tcPr>
            <w:tcW w:type="dxa" w:w="2266"/>
          </w:tcPr>
          <w:p>
            <w:r>
              <w:rPr>
                <w:sz w:val="18"/>
              </w:rPr>
              <w:t>PASS ✓</w:t>
            </w:r>
          </w:p>
        </w:tc>
      </w:tr>
      <w:tr>
        <w:tc>
          <w:tcPr>
            <w:tcW w:type="dxa" w:w="2266"/>
          </w:tcPr>
          <w:p>
            <w:r>
              <w:rPr>
                <w:sz w:val="18"/>
              </w:rPr>
              <w:t>Community Investment &amp; Business Ethics</w:t>
            </w:r>
          </w:p>
        </w:tc>
        <w:tc>
          <w:tcPr>
            <w:tcW w:type="dxa" w:w="2266"/>
          </w:tcPr>
          <w:p>
            <w:r>
              <w:rPr>
                <w:sz w:val="18"/>
              </w:rPr>
              <w:t>4</w:t>
            </w:r>
          </w:p>
        </w:tc>
        <w:tc>
          <w:tcPr>
            <w:tcW w:type="dxa" w:w="2266"/>
          </w:tcPr>
          <w:p>
            <w:r>
              <w:rPr>
                <w:sz w:val="18"/>
              </w:rPr>
              <w:t>0</w:t>
            </w:r>
          </w:p>
        </w:tc>
        <w:tc>
          <w:tcPr>
            <w:tcW w:type="dxa" w:w="2266"/>
          </w:tcPr>
          <w:p>
            <w:r>
              <w:rPr>
                <w:sz w:val="18"/>
              </w:rPr>
              <w:t>PASS ✓</w:t>
            </w:r>
          </w:p>
        </w:tc>
      </w:tr>
      <w:tr>
        <w:tc>
          <w:tcPr>
            <w:tcW w:type="dxa" w:w="2266"/>
          </w:tcPr>
          <w:p>
            <w:r>
              <w:rPr>
                <w:sz w:val="18"/>
              </w:rPr>
              <w:t>Sustainability Targets &amp; Forward Outlook</w:t>
            </w:r>
          </w:p>
        </w:tc>
        <w:tc>
          <w:tcPr>
            <w:tcW w:type="dxa" w:w="2266"/>
          </w:tcPr>
          <w:p>
            <w:r>
              <w:rPr>
                <w:sz w:val="18"/>
              </w:rPr>
              <w:t>3</w:t>
            </w:r>
          </w:p>
        </w:tc>
        <w:tc>
          <w:tcPr>
            <w:tcW w:type="dxa" w:w="2266"/>
          </w:tcPr>
          <w:p>
            <w:r>
              <w:rPr>
                <w:sz w:val="18"/>
              </w:rPr>
              <w:t>0</w:t>
            </w:r>
          </w:p>
        </w:tc>
        <w:tc>
          <w:tcPr>
            <w:tcW w:type="dxa" w:w="2266"/>
          </w:tcPr>
          <w:p>
            <w:r>
              <w:rPr>
                <w:sz w:val="18"/>
              </w:rPr>
              <w:t>PASS ✓</w:t>
            </w:r>
          </w:p>
        </w:tc>
      </w:tr>
    </w:tbl>
    <w:p/>
    <w:p>
      <w:r>
        <w:rPr>
          <w:b/>
          <w:color w:val="C00000"/>
          <w:sz w:val="22"/>
        </w:rPr>
        <w:t>Overall validation status: REVIEW REQUIRED — 2 flag(s) raised across 12 sections.</w:t>
      </w:r>
    </w:p>
    <w:p/>
    <w:p>
      <w:pPr>
        <w:pStyle w:val="Heading2"/>
      </w:pPr>
      <w:r>
        <w:t>Flagged Values — Detail</w:t>
      </w:r>
    </w:p>
    <w:p>
      <w:r>
        <w:rPr>
          <w:b/>
        </w:rPr>
        <w:t>Greenhouse Gas Emissions:</w:t>
      </w:r>
    </w:p>
    <w:p>
      <w:pPr>
        <w:pStyle w:val="ListBullet"/>
      </w:pPr>
      <w:r>
        <w:t xml:space="preserve">  • Value '923,000' could not be matched to source data. Closest source: scope3_emissions_tco2e = 780000.0 (deviation: 18.3%)</w:t>
      </w:r>
    </w:p>
    <w:p>
      <w:r>
        <w:rPr>
          <w:b/>
        </w:rPr>
        <w:t>Workforce &amp; Human Capital:</w:t>
      </w:r>
    </w:p>
    <w:p>
      <w:pPr>
        <w:pStyle w:val="ListBullet"/>
      </w:pPr>
      <w:r>
        <w:t xml:space="preserve">  • Value '30' could not be matched to source data. Closest source: employee_turnover_pct = 31.7 (deviation: 5.4%)</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 AI-Assisted Draft  |  Horizon Retail Group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