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3864"/>
          <w:sz w:val="56"/>
        </w:rPr>
        <w:t>Sustainability Report</w:t>
      </w:r>
    </w:p>
    <w:p>
      <w:pPr>
        <w:jc w:val="center"/>
      </w:pPr>
      <w:r>
        <w:rPr>
          <w:rFonts w:ascii="Calibri" w:hAnsi="Calibri"/>
          <w:color w:val="2E86AB"/>
          <w:sz w:val="32"/>
        </w:rPr>
        <w:t>Vantage Financial Services | 2024</w:t>
      </w:r>
    </w:p>
    <w:p>
      <w:pPr>
        <w:jc w:val="center"/>
      </w:pPr>
      <w:r>
        <w:rPr>
          <w:rFonts w:ascii="Calibri" w:hAnsi="Calibri"/>
          <w:color w:val="808080"/>
          <w:sz w:val="22"/>
        </w:rPr>
      </w:r>
    </w:p>
    <w:p/>
    <w:p/>
    <w:p/>
    <w:p/>
    <w:p>
      <w:pPr>
        <w:jc w:val="center"/>
      </w:pPr>
      <w:r>
        <w:rPr>
          <w:color w:val="808080"/>
          <w:sz w:val="18"/>
        </w:rPr>
        <w:t>Prepared by: ASPIRE</w:t>
      </w:r>
    </w:p>
    <w:p>
      <w:pPr>
        <w:jc w:val="center"/>
      </w:pPr>
      <w:r>
        <w:rPr>
          <w:color w:val="808080"/>
          <w:sz w:val="18"/>
        </w:rPr>
        <w:t>Generated: 16 May 2026</w:t>
      </w:r>
    </w:p>
    <w:p/>
    <w:p/>
    <w:p>
      <w:pPr>
        <w:jc w:val="center"/>
      </w:pPr>
      <w:r>
        <w:rPr>
          <w:b/>
          <w:color w:val="C00000"/>
          <w:sz w:val="18"/>
        </w:rPr>
        <w:t>AI-ASSISTED DRAFT — FOR INTERNAL REVIEW ONLY</w:t>
        <w:br/>
        <w:t>All figures must be verified against source data before external publication.</w:t>
      </w:r>
    </w:p>
    <w:p>
      <w:r>
        <w:br w:type="page"/>
      </w:r>
    </w:p>
    <w:p>
      <w:pPr>
        <w:pStyle w:val="Heading1"/>
      </w:pPr>
      <w:r>
        <w:rPr>
          <w:color w:val="1F3864"/>
        </w:rPr>
        <w:t>About This Report</w:t>
      </w:r>
    </w:p>
    <w:p>
      <w:r>
        <w:rPr>
          <w:sz w:val="22"/>
        </w:rPr>
        <w:t>This sustainability report for Vantage Financial Services covers the reporting period ending 2024. It has been prepared in alignment with the Global Reporting Initiative (GRI) Standards and the Task Force on Climate-related Financial Disclosures (TCFD) recommendations.</w:t>
        <w:br/>
        <w:br/>
        <w:t>Report content was generated using a large language model (LLM) pipeline and automatically validated against source data to minimise numerical inaccuracies. A validation summary is included as an appendix. All figures should be independently verified before external publication.</w:t>
      </w:r>
    </w:p>
    <w:p>
      <w:r>
        <w:br w:type="page"/>
      </w:r>
    </w:p>
    <w:p>
      <w:pPr>
        <w:pStyle w:val="Heading1"/>
      </w:pPr>
      <w:r>
        <w:rPr>
          <w:color w:val="1F3864"/>
          <w:sz w:val="32"/>
        </w:rPr>
        <w:t>Company Overview &amp; Reporting Scope</w:t>
      </w:r>
    </w:p>
    <w:p>
      <w:r>
        <w:rPr>
          <w:i/>
          <w:color w:val="2E86AB"/>
          <w:sz w:val="18"/>
        </w:rPr>
        <w:t>GRI: GRI 2-1 | TCFD: Governance</w:t>
      </w:r>
    </w:p>
    <w:p>
      <w:pPr>
        <w:spacing w:after="160"/>
      </w:pPr>
      <w:r>
        <w:rPr>
          <w:rFonts w:ascii="Calibri" w:hAnsi="Calibri"/>
          <w:sz w:val="22"/>
        </w:rPr>
        <w:t>Vantage Financial Services is a financial services company operating in India, with a total of 1,850 employees as of the reporting year 2024. The company is part of the broader financial services industry, which plays a critical role in the country's economy. As a responsible corporate citizen, Vantage Financial Services recognizes the importance of transparency and accountability in its operations and sustainability performance.</w:t>
      </w:r>
    </w:p>
    <w:p>
      <w:pPr>
        <w:spacing w:after="160"/>
      </w:pPr>
      <w:r>
        <w:rPr>
          <w:rFonts w:ascii="Calibri" w:hAnsi="Calibri"/>
          <w:sz w:val="22"/>
        </w:rPr>
        <w:t>This sustainability report covers the company's activities and performance for the reporting year 2024. The report's scope and boundaries are focused on the company's operations in India, where it is headquartered. The company's geographic presence is currently limited to India, and this report reflects the company's sustainability performance within this context.</w:t>
      </w:r>
    </w:p>
    <w:p>
      <w:pPr>
        <w:spacing w:after="160"/>
      </w:pPr>
      <w:r>
        <w:rPr>
          <w:rFonts w:ascii="Calibri" w:hAnsi="Calibri"/>
          <w:sz w:val="22"/>
        </w:rPr>
        <w:t>In terms of reporting, Vantage Financial Services is committed to providing stakeholders with accurate and timely information about its sustainability performance. However, certain metrics, such as annual revenue in USD and the number of sites, are not available for this reporting period. These metrics will be developed and disclosed in future reporting periods, providing a more comprehensive view of the company's operations and sustainability performance.</w:t>
      </w:r>
    </w:p>
    <w:p>
      <w:pPr>
        <w:spacing w:after="160"/>
      </w:pPr>
      <w:r>
        <w:rPr>
          <w:rFonts w:ascii="Calibri" w:hAnsi="Calibri"/>
          <w:sz w:val="22"/>
        </w:rPr>
        <w:t>As a financial services company, Vantage Financial Services recognizes the importance of governance and oversight in its sustainability reporting. The company's governance structure and processes are designed to ensure the integrity and accuracy of its sustainability reporting, and to provide stakeholders with a clear understanding of its sustainability performance. The company will continue to refine its sustainability reporting and disclosure practices in the future, with a focus on transparency and accountability. The company will publish its next sustainability report in 2025, which will build on the foundations established in this report.</w:t>
      </w:r>
    </w:p>
    <w:p/>
    <w:p>
      <w:pPr>
        <w:pStyle w:val="Heading1"/>
      </w:pPr>
      <w:r>
        <w:rPr>
          <w:color w:val="1F3864"/>
          <w:sz w:val="32"/>
        </w:rPr>
        <w:t>Governance &amp; Sustainability Leadership</w:t>
      </w:r>
    </w:p>
    <w:p>
      <w:r>
        <w:rPr>
          <w:i/>
          <w:color w:val="2E86AB"/>
          <w:sz w:val="18"/>
        </w:rPr>
        <w:t>GRI: GRI 2-9 / GRI 2-12 | TCFD: Governance</w:t>
      </w:r>
    </w:p>
    <w:p>
      <w:pPr>
        <w:spacing w:after="160"/>
      </w:pPr>
      <w:r>
        <w:rPr>
          <w:rFonts w:ascii="Calibri" w:hAnsi="Calibri"/>
          <w:sz w:val="22"/>
        </w:rPr>
        <w:t>The board of Vantage Financial Services is composed of 11 members, with 5 of these positions held by females. In terms of independence, 73% of the board is comprised of independent directors, ensuring a strong oversight mechanism. This structure enables the board to provide effective guidance and supervision, including on matters related to sustainability.</w:t>
      </w:r>
    </w:p>
    <w:p>
      <w:pPr>
        <w:spacing w:after="160"/>
      </w:pPr>
      <w:r>
        <w:rPr>
          <w:rFonts w:ascii="Calibri" w:hAnsi="Calibri"/>
          <w:sz w:val="22"/>
        </w:rPr>
        <w:t>Oversight of sustainability performance is embedded within the board's responsibilities, with executive accountability for ESG performance also integrated into the company's governance framework. The CEO pay ratio, which compares the CEO's pay to that of the median employee, stands at 42. This figure is reported as part of the company's commitment to transparency in its governance practices.</w:t>
      </w:r>
    </w:p>
    <w:p>
      <w:pPr>
        <w:spacing w:after="160"/>
      </w:pPr>
      <w:r>
        <w:rPr>
          <w:rFonts w:ascii="Calibri" w:hAnsi="Calibri"/>
          <w:sz w:val="22"/>
        </w:rPr>
        <w:t>In addition to board-level oversight, Vantage Financial Services has implemented various measures to ensure ethical business practices throughout its operations. Notably, 100% of relevant staff have received anti-corruption training, demonstrating the company's commitment to upholding high standards of integrity. The company also conducts regular audits of its suppliers, with 28 audits conducted in the reporting period. Furthermore, 91% of suppliers have adopted a code of conduct, aligning with Vantage Financial Services' expectations for responsible business practices.</w:t>
      </w:r>
    </w:p>
    <w:p>
      <w:pPr>
        <w:spacing w:after="160"/>
      </w:pPr>
      <w:r>
        <w:rPr>
          <w:rFonts w:ascii="Calibri" w:hAnsi="Calibri"/>
          <w:sz w:val="22"/>
        </w:rPr>
        <w:t>While the company has made efforts to establish a robust governance framework, there are areas where additional data would provide further insight into its sustainability leadership. However, based on the information available, it is clear that Vantage Financial Services has taken steps to integrate sustainability considerations into its decision-making processes. As the company continues to evolve its approach to governance and sustainability, it will prioritize the development of more comprehensive metrics to inform its strategic decisions, with a focus on enhancing its ESG performance in the upcoming year.</w:t>
      </w:r>
    </w:p>
    <w:p/>
    <w:p>
      <w:pPr>
        <w:pStyle w:val="Heading1"/>
      </w:pPr>
      <w:r>
        <w:rPr>
          <w:color w:val="1F3864"/>
          <w:sz w:val="32"/>
        </w:rPr>
        <w:t>Climate Strategy &amp; Risk Management</w:t>
      </w:r>
    </w:p>
    <w:p>
      <w:r>
        <w:rPr>
          <w:i/>
          <w:color w:val="2E86AB"/>
          <w:sz w:val="18"/>
        </w:rPr>
        <w:t>GRI: GRI 201-2 | TCFD: Strategy</w:t>
      </w:r>
    </w:p>
    <w:p>
      <w:pPr>
        <w:spacing w:after="160"/>
      </w:pPr>
      <w:r>
        <w:rPr>
          <w:rFonts w:ascii="Calibri" w:hAnsi="Calibri"/>
          <w:sz w:val="22"/>
        </w:rPr>
        <w:t>Vantage Financial Services acknowledges the importance of addressing climate-related risks and opportunities in its operations. In the reporting year 2024, the company's Scope 1 emissions totaled 1,200 tonnes CO2 equivalent, while Scope 2 emissions reached 9,800 tonnes CO2 equivalent. The majority of the company's emissions, however, stem from Scope 3, with a total of 198,000 tonnes CO2 equivalent. The company's energy consumption for the year was 28,400 MWh, with 61% of its total energy coming from renewable sources.</w:t>
      </w:r>
    </w:p>
    <w:p>
      <w:pPr>
        <w:spacing w:after="160"/>
      </w:pPr>
      <w:r>
        <w:rPr>
          <w:rFonts w:ascii="Calibri" w:hAnsi="Calibri"/>
          <w:sz w:val="22"/>
        </w:rPr>
        <w:t>In terms of climate strategy, Vantage Financial Services has not yet set formal short, medium, or long-term targets for reducing its greenhouse gas emissions. The company recognizes the need to establish such targets and intends to prioritize this in its future sustainability planning. The development of formal climate targets will enable the company to better identify and manage physical and transition climate risks, in line with the recommendations of the Task Force on Climate-related Financial Disclosures (TCFD).</w:t>
      </w:r>
    </w:p>
    <w:p>
      <w:pPr>
        <w:spacing w:after="160"/>
      </w:pPr>
      <w:r>
        <w:rPr>
          <w:rFonts w:ascii="Calibri" w:hAnsi="Calibri"/>
          <w:sz w:val="22"/>
        </w:rPr>
        <w:t>The company's current reliance on renewable energy sources, accounting for 61% of its total energy consumption, is a positive step towards reducing its carbon footprint. However, the significant proportion of Scope 3 emissions highlights the need for a more comprehensive approach to managing climate-related risks. Vantage Financial Services will focus on developing a robust climate strategy, including the establishment of formal targets, to ensure it is well-positioned to address the challenges and opportunities arising from climate change. In the next reporting period, the company will prioritize the development of formal climate targets, a crucial step towards enhancing its climate risk management and disclosure practices.</w:t>
      </w:r>
    </w:p>
    <w:p/>
    <w:p>
      <w:pPr>
        <w:pStyle w:val="Heading1"/>
      </w:pPr>
      <w:r>
        <w:rPr>
          <w:color w:val="1F3864"/>
          <w:sz w:val="32"/>
        </w:rPr>
        <w:t>Energy Consumption &amp; Efficiency</w:t>
      </w:r>
    </w:p>
    <w:p>
      <w:r>
        <w:rPr>
          <w:i/>
          <w:color w:val="2E86AB"/>
          <w:sz w:val="18"/>
        </w:rPr>
        <w:t>GRI: GRI 302-1 / GRI 302-4 | TCFD: Metrics &amp; Targets</w:t>
      </w:r>
    </w:p>
    <w:p>
      <w:pPr>
        <w:spacing w:after="160"/>
      </w:pPr>
      <w:r>
        <w:rPr>
          <w:rFonts w:ascii="Calibri" w:hAnsi="Calibri"/>
          <w:sz w:val="22"/>
        </w:rPr>
        <w:t>Vantage Financial Services's energy consumption for the reporting year 2024 totalled 28,400 MWh. In terms of renewable energy, the company achieved a share of 61% of its total energy consumption. This percentage indicates the proportion of energy that was sourced from renewable sources.</w:t>
      </w:r>
    </w:p>
    <w:p>
      <w:pPr>
        <w:spacing w:after="160"/>
      </w:pPr>
      <w:r>
        <w:rPr>
          <w:rFonts w:ascii="Calibri" w:hAnsi="Calibri"/>
          <w:sz w:val="22"/>
        </w:rPr>
        <w:t>The company's renewable energy share of 61% is a notable aspect of its energy consumption profile. However, it is also important to acknowledge that the remaining 39% of energy consumption was not from renewable sources. As such, there is still room for improvement in terms of increasing the proportion of renewable energy in the company's overall energy mix.</w:t>
      </w:r>
    </w:p>
    <w:p>
      <w:pPr>
        <w:spacing w:after="160"/>
      </w:pPr>
      <w:r>
        <w:rPr>
          <w:rFonts w:ascii="Calibri" w:hAnsi="Calibri"/>
          <w:sz w:val="22"/>
        </w:rPr>
        <w:t>Regarding year-on-year trends, no comparable data is available for this reporting period. Therefore, it is not possible to comment on any changes in energy consumption or renewable energy share over time.</w:t>
      </w:r>
    </w:p>
    <w:p>
      <w:pPr>
        <w:spacing w:after="160"/>
      </w:pPr>
      <w:r>
        <w:rPr>
          <w:rFonts w:ascii="Calibri" w:hAnsi="Calibri"/>
          <w:sz w:val="22"/>
        </w:rPr>
        <w:t>In terms of energy efficiency initiatives, the company has not provided specific data on quantified impact for this reporting period. However, it is worth noting that the company is committed to ongoing efforts to improve its energy efficiency and reduce its environmental footprint.</w:t>
      </w:r>
    </w:p>
    <w:p>
      <w:pPr>
        <w:spacing w:after="160"/>
      </w:pPr>
      <w:r>
        <w:rPr>
          <w:rFonts w:ascii="Calibri" w:hAnsi="Calibri"/>
          <w:sz w:val="22"/>
        </w:rPr>
        <w:t xml:space="preserve">Certain optional metrics, including energy intensity per revenue, energy reduction versus baseline percentage, onsite solar MWh, and grid electricity MWh, are not available for this reporting period. These metrics will be developed and disclosed in future reporting periods, providing a more comprehensive picture of the company's energy consumption and efficiency performance. </w:t>
        <w:br/>
        <w:t>The company will continue to monitor and report on its energy consumption and renewable energy share in future reporting periods, with a focus on maintaining a high level of transparency and accountability.</w:t>
      </w:r>
    </w:p>
    <w:p/>
    <w:p>
      <w:pPr>
        <w:pStyle w:val="Heading1"/>
      </w:pPr>
      <w:r>
        <w:rPr>
          <w:color w:val="1F3864"/>
          <w:sz w:val="32"/>
        </w:rPr>
        <w:t>Greenhouse Gas Emissions</w:t>
      </w:r>
    </w:p>
    <w:p>
      <w:r>
        <w:rPr>
          <w:i/>
          <w:color w:val="2E86AB"/>
          <w:sz w:val="18"/>
        </w:rPr>
        <w:t>GRI: GRI 305-1 / GRI 305-2 / GRI 305-3 | TCFD: Metrics &amp; Targets</w:t>
      </w:r>
    </w:p>
    <w:p>
      <w:pPr>
        <w:spacing w:after="160"/>
      </w:pPr>
      <w:r>
        <w:rPr>
          <w:rFonts w:ascii="Calibri" w:hAnsi="Calibri"/>
          <w:sz w:val="22"/>
        </w:rPr>
        <w:t>Vantage Financial Services has reported its greenhouse gas emissions for the 2024 reporting year, in accordance with the GHG Protocol structure. The company's Scope 1 emissions, which include direct emissions from owned or controlled sources, totalled 1,200 tonnes CO2 equivalent. Scope 2 emissions, which comprise indirect emissions from the generation of purchased energy, were 9,800 tonnes CO2 equivalent. The majority of the company's emissions fall under Scope 3, which encompasses all other indirect emissions, with a total of 198,000 tonnes CO2 equivalent.</w:t>
      </w:r>
    </w:p>
    <w:p>
      <w:pPr>
        <w:spacing w:after="160"/>
      </w:pPr>
      <w:r>
        <w:rPr>
          <w:rFonts w:ascii="Calibri" w:hAnsi="Calibri"/>
          <w:sz w:val="22"/>
        </w:rPr>
        <w:t>The company's greenhouse gas emissions have been reported in accordance with the GRI 305-1, GRI 305-2, and GRI 305-3 standards, and are also aligned with the Metrics &amp; Targets pillar of the TCFD framework. The methodology used to calculate these emissions is not available for this reporting period, but will be disclosed in future reports. Additionally, intensity metrics, such as emissions per revenue, are not available at this time, but will be developed and included in future reporting periods.</w:t>
      </w:r>
    </w:p>
    <w:p>
      <w:pPr>
        <w:spacing w:after="160"/>
      </w:pPr>
      <w:r>
        <w:rPr>
          <w:rFonts w:ascii="Calibri" w:hAnsi="Calibri"/>
          <w:sz w:val="22"/>
        </w:rPr>
        <w:t>It is also noted that year-over-year emissions change percentage and carbon offset data are not available for this reporting period, but will be included in future reports to provide a more comprehensive picture of the company's greenhouse gas emissions performance. The company will continue to work on developing and disclosing these metrics to enhance the transparency and accuracy of its sustainability reporting. As the company moves forward, it will focus on continuing to report its Scope 1, 2, and 3 emissions in accordance with the GHG Protocol, with the next step being to report its 2025 greenhouse gas emissions.</w:t>
      </w:r>
    </w:p>
    <w:p/>
    <w:p>
      <w:pPr>
        <w:pStyle w:val="Heading1"/>
      </w:pPr>
      <w:r>
        <w:rPr>
          <w:color w:val="1F3864"/>
          <w:sz w:val="32"/>
        </w:rPr>
        <w:t>Water Stewardship</w:t>
      </w:r>
    </w:p>
    <w:p>
      <w:r>
        <w:rPr>
          <w:i/>
          <w:color w:val="2E86AB"/>
          <w:sz w:val="18"/>
        </w:rPr>
        <w:t>GRI: GRI 303-1 / GRI 303-3</w:t>
      </w:r>
    </w:p>
    <w:p>
      <w:pPr>
        <w:spacing w:after="160"/>
      </w:pPr>
      <w:r>
        <w:rPr>
          <w:rFonts w:ascii="Calibri" w:hAnsi="Calibri"/>
          <w:sz w:val="22"/>
        </w:rPr>
        <w:t>Vantage Financial Services acknowledges the importance of responsible water management in its operations. In 2024, the company's water withdrawal totaled 84,000 cubic metres. This figure represents the total volume of water withdrawn by the company for its various uses. However, it is notable that the company's water recycling rate was 0%, indicating that none of the withdrawn water was recycled. This highlights an area for improvement in the company's water stewardship efforts.</w:t>
      </w:r>
    </w:p>
    <w:p>
      <w:pPr>
        <w:spacing w:after="160"/>
      </w:pPr>
      <w:r>
        <w:rPr>
          <w:rFonts w:ascii="Calibri" w:hAnsi="Calibri"/>
          <w:sz w:val="22"/>
        </w:rPr>
        <w:t>The company recognizes the need to implement effective water conservation and recycling measures to minimize its water footprint. Unfortunately, data on water intensity per revenue and the percentage of sites located in water-stressed areas are not available for this reporting period. These metrics will be developed and disclosed in future reports, providing a more comprehensive understanding of the company's water management performance.</w:t>
      </w:r>
    </w:p>
    <w:p>
      <w:pPr>
        <w:spacing w:after="160"/>
      </w:pPr>
      <w:r>
        <w:rPr>
          <w:rFonts w:ascii="Calibri" w:hAnsi="Calibri"/>
          <w:sz w:val="22"/>
        </w:rPr>
        <w:t>Given the lack of data on water stress, the company acknowledges the need for a water stress assessment to better understand the risks and opportunities associated with its water usage. This assessment will be a crucial step in developing targeted strategies to mitigate potential water-related risks and improve the company's overall water stewardship.</w:t>
      </w:r>
    </w:p>
    <w:p>
      <w:pPr>
        <w:spacing w:after="160"/>
      </w:pPr>
      <w:r>
        <w:rPr>
          <w:rFonts w:ascii="Calibri" w:hAnsi="Calibri"/>
          <w:sz w:val="22"/>
        </w:rPr>
        <w:t>The company's current water recycling rate of 0% underscores the need for significant improvement in this area. As Vantage Financial Services moves forward, it will focus on implementing water conservation and recycling initiatives to reduce its water footprint. The company will prioritize the development of a comprehensive water management plan, which will include specific targets and strategies for improving its water recycling rate and reducing its overall water withdrawal. Vantage Financial Services will conduct a water stress assessment in the next reporting period to inform its water stewardship strategy.</w:t>
      </w:r>
    </w:p>
    <w:p/>
    <w:p>
      <w:pPr>
        <w:pStyle w:val="Heading1"/>
      </w:pPr>
      <w:r>
        <w:rPr>
          <w:color w:val="1F3864"/>
          <w:sz w:val="32"/>
        </w:rPr>
        <w:t>Waste Management &amp; Circular Economy</w:t>
      </w:r>
    </w:p>
    <w:p>
      <w:r>
        <w:rPr>
          <w:i/>
          <w:color w:val="2E86AB"/>
          <w:sz w:val="18"/>
        </w:rPr>
        <w:t>GRI: GRI 306-2 / GRI 306-3</w:t>
      </w:r>
    </w:p>
    <w:p>
      <w:pPr>
        <w:spacing w:after="160"/>
      </w:pPr>
      <w:r>
        <w:rPr>
          <w:rFonts w:ascii="Calibri" w:hAnsi="Calibri"/>
          <w:sz w:val="22"/>
        </w:rPr>
        <w:t>Vantage Financial Services generated a total of 310 tonnes of waste in the reporting period. The company achieved a recycling rate of 82%, indicating a significant proportion of its waste was managed through recycling channels. Notably, the company reported zero tonnes of hazardous waste, demonstrating effective handling and management of potentially harmful materials.</w:t>
      </w:r>
    </w:p>
    <w:p>
      <w:pPr>
        <w:spacing w:after="160"/>
      </w:pPr>
      <w:r>
        <w:rPr>
          <w:rFonts w:ascii="Calibri" w:hAnsi="Calibri"/>
          <w:sz w:val="22"/>
        </w:rPr>
        <w:t>The recycling rate of 82% suggests that Vantage Financial Services has implemented effective waste management practices, prioritizing the recycling of materials wherever possible. However, the company acknowledges that there is still room for improvement in its waste management and circular economy initiatives. The total waste generation of 310 tonnes highlights the need for ongoing efforts to reduce waste and promote more sustainable practices throughout the organization.</w:t>
      </w:r>
    </w:p>
    <w:p>
      <w:pPr>
        <w:spacing w:after="160"/>
      </w:pPr>
      <w:r>
        <w:rPr>
          <w:rFonts w:ascii="Calibri" w:hAnsi="Calibri"/>
          <w:sz w:val="22"/>
        </w:rPr>
        <w:t>It is worth noting that certain metrics, such as the amount of waste sent to landfill and the diversion rate, are not available for this reporting period. These metrics will be developed and disclosed in future reporting periods, providing a more comprehensive understanding of the company's waste management performance. Additionally, the company's circular economy initiatives are currently nascent and unquantified, but will be explored and reported on in greater detail in future sustainability reports.</w:t>
      </w:r>
    </w:p>
    <w:p>
      <w:pPr>
        <w:spacing w:after="160"/>
      </w:pPr>
      <w:r>
        <w:rPr>
          <w:rFonts w:ascii="Calibri" w:hAnsi="Calibri"/>
          <w:sz w:val="22"/>
        </w:rPr>
        <w:t>Vantage Financial Services recognizes the importance of responsible waste management and is committed to ongoing improvement in this area. The company will continue to prioritize recycling and explore opportunities to reduce waste generation, with the goal of minimizing its environmental impact. As the company moves forward, it will focus on developing and implementing more comprehensive waste management and circular economy strategies, with the aim of reducing its total waste generation of 310 tonnes in future reporting periods.</w:t>
      </w:r>
    </w:p>
    <w:p/>
    <w:p>
      <w:pPr>
        <w:pStyle w:val="Heading1"/>
      </w:pPr>
      <w:r>
        <w:rPr>
          <w:color w:val="1F3864"/>
          <w:sz w:val="32"/>
        </w:rPr>
        <w:t>Workforce &amp; Human Capital</w:t>
      </w:r>
    </w:p>
    <w:p>
      <w:r>
        <w:rPr>
          <w:i/>
          <w:color w:val="2E86AB"/>
          <w:sz w:val="18"/>
        </w:rPr>
        <w:t>GRI: GRI 2-7 / GRI 401-1 / GRI 405-1</w:t>
      </w:r>
    </w:p>
    <w:p>
      <w:pPr>
        <w:spacing w:after="160"/>
      </w:pPr>
      <w:r>
        <w:rPr>
          <w:rFonts w:ascii="Calibri" w:hAnsi="Calibri"/>
          <w:sz w:val="22"/>
        </w:rPr>
        <w:t>Vantage Financial Services's workforce composition is a critical aspect of its sustainability performance. As of the reporting period, the company employs a total of 1,850 people. In terms of gender diversity, 47% of the total workforce is female, indicating a relatively balanced representation of genders within the organization.</w:t>
      </w:r>
    </w:p>
    <w:p>
      <w:pPr>
        <w:spacing w:after="160"/>
      </w:pPr>
      <w:r>
        <w:rPr>
          <w:rFonts w:ascii="Calibri" w:hAnsi="Calibri"/>
          <w:sz w:val="22"/>
        </w:rPr>
        <w:t>The company's employee turnover rate stands at 16.2% annually, which is a challenge that Vantage Financial Services acknowledges as a retention issue. This level of turnover suggests that the company needs to focus on improving employee satisfaction and engagement to reduce the loss of talent. Despite this challenge, the company has been actively hiring, with 210 new employees joining the organization.</w:t>
      </w:r>
    </w:p>
    <w:p>
      <w:pPr>
        <w:spacing w:after="160"/>
      </w:pPr>
      <w:r>
        <w:rPr>
          <w:rFonts w:ascii="Calibri" w:hAnsi="Calibri"/>
          <w:sz w:val="22"/>
        </w:rPr>
        <w:t>Investing in human capital is a key priority for Vantage Financial Services. The company has provided an average of 42 training hours per employee per year, demonstrating its commitment to employee development and growth. This investment in training is essential for enhancing the skills and knowledge of employees, which in turn contributes to the company's overall performance and sustainability.</w:t>
      </w:r>
    </w:p>
    <w:p>
      <w:pPr>
        <w:spacing w:after="160"/>
      </w:pPr>
      <w:r>
        <w:rPr>
          <w:rFonts w:ascii="Calibri" w:hAnsi="Calibri"/>
          <w:sz w:val="22"/>
        </w:rPr>
        <w:t>It is noted that certain metrics, such as the number of part-time employees and union membership percentage, are not available for this reporting period. These metrics will be developed and disclosed in future reporting periods, providing a more comprehensive overview of the company's workforce and human capital management practices.</w:t>
      </w:r>
    </w:p>
    <w:p>
      <w:pPr>
        <w:spacing w:after="160"/>
      </w:pPr>
      <w:r>
        <w:rPr>
          <w:rFonts w:ascii="Calibri" w:hAnsi="Calibri"/>
          <w:sz w:val="22"/>
        </w:rPr>
        <w:t>Vantage Financial Services will continue to monitor its workforce composition, diversity metrics, and turnover rates, and will develop strategies to address the retention challenge and promote a more stable and engaged workforce. The company will build on its existing training programs, aiming to maintain an average of at least 42 training hours per employee per year in the next reporting period.</w:t>
      </w:r>
    </w:p>
    <w:p/>
    <w:p>
      <w:pPr>
        <w:pStyle w:val="Heading1"/>
      </w:pPr>
      <w:r>
        <w:rPr>
          <w:color w:val="1F3864"/>
          <w:sz w:val="32"/>
        </w:rPr>
        <w:t>Occupational Health &amp; Safety</w:t>
      </w:r>
    </w:p>
    <w:p>
      <w:r>
        <w:rPr>
          <w:i/>
          <w:color w:val="2E86AB"/>
          <w:sz w:val="18"/>
        </w:rPr>
        <w:t>GRI: GRI 403-2 / GRI 403-9</w:t>
      </w:r>
    </w:p>
    <w:p>
      <w:pPr>
        <w:spacing w:after="160"/>
      </w:pPr>
      <w:r>
        <w:rPr>
          <w:rFonts w:ascii="Calibri" w:hAnsi="Calibri"/>
          <w:sz w:val="22"/>
        </w:rPr>
        <w:t>Vantage Financial Services prioritizes the occupational health and safety of its employees, recognizing the importance of a safe working environment. In 2024, the company reported 1 work-related injury, which is a recordable injury. Fortunately, there were 0 fatalities, indicating a strong commitment to protecting the well-being of employees. The company acknowledges the significance of transparency in reporting safety data and is committed to maintaining a high level of disclosure.</w:t>
      </w:r>
    </w:p>
    <w:p>
      <w:pPr>
        <w:spacing w:after="160"/>
      </w:pPr>
      <w:r>
        <w:rPr>
          <w:rFonts w:ascii="Calibri" w:hAnsi="Calibri"/>
          <w:sz w:val="22"/>
        </w:rPr>
        <w:t>The safety management system at Vantage Financial Services is designed to identify and mitigate potential hazards, ensuring a safe working environment for all employees. While certain optional KPIs, such as lost time injury frequency rate, near miss incidents, and occupational illness rate, are not available for this reporting period, the company is working to develop and track these metrics for inclusion in future reports.</w:t>
      </w:r>
    </w:p>
    <w:p>
      <w:pPr>
        <w:spacing w:after="160"/>
      </w:pPr>
      <w:r>
        <w:rPr>
          <w:rFonts w:ascii="Calibri" w:hAnsi="Calibri"/>
          <w:sz w:val="22"/>
        </w:rPr>
        <w:t>Employee training is a critical component of the company's safety management system. In 2024, Vantage Financial Services provided an average of 42 training hours per employee per year, demonstrating its commitment to equipping employees with the knowledge and skills necessary to perform their jobs safely. This investment in employee training is expected to contribute to improved safety performance over time.</w:t>
      </w:r>
    </w:p>
    <w:p>
      <w:pPr>
        <w:spacing w:after="160"/>
      </w:pPr>
      <w:r>
        <w:rPr>
          <w:rFonts w:ascii="Calibri" w:hAnsi="Calibri"/>
          <w:sz w:val="22"/>
        </w:rPr>
        <w:t>The company's safety performance data indicates a focus on preventing injuries and ensuring a safe working environment. By prioritizing employee training and maintaining a robust safety management system, Vantage Financial Services aims to minimize the risk of work-related injuries and fatalities. As the company continues to track and report on its safety performance, it will build on the existing foundation to further enhance its occupational health and safety outcomes. Vantage Financial Services will continue to provide regular training to its employees, with a minimum of 42 training hours per employee per year, in the next reporting period.</w:t>
      </w:r>
    </w:p>
    <w:p/>
    <w:p>
      <w:pPr>
        <w:pStyle w:val="Heading1"/>
      </w:pPr>
      <w:r>
        <w:rPr>
          <w:color w:val="1F3864"/>
          <w:sz w:val="32"/>
        </w:rPr>
        <w:t>Diversity, Equity &amp; Inclusion</w:t>
      </w:r>
    </w:p>
    <w:p>
      <w:r>
        <w:rPr>
          <w:i/>
          <w:color w:val="2E86AB"/>
          <w:sz w:val="18"/>
        </w:rPr>
        <w:t>GRI: GRI 405-1 / GRI 406-1</w:t>
      </w:r>
    </w:p>
    <w:p>
      <w:pPr>
        <w:spacing w:after="160"/>
      </w:pPr>
      <w:r>
        <w:rPr>
          <w:rFonts w:ascii="Calibri" w:hAnsi="Calibri"/>
          <w:sz w:val="22"/>
        </w:rPr>
        <w:t>Vantage Financial Services acknowledges the importance of diversity, equity, and inclusion in the workplace, and as such, has taken steps to report on its current state. As of the latest reporting period, the company's workforce is comprised of 47% female employees and 53% male employees. This breakdown provides a foundational understanding of the company's gender diversity.</w:t>
      </w:r>
    </w:p>
    <w:p>
      <w:pPr>
        <w:spacing w:after="160"/>
      </w:pPr>
      <w:r>
        <w:rPr>
          <w:rFonts w:ascii="Calibri" w:hAnsi="Calibri"/>
          <w:sz w:val="22"/>
        </w:rPr>
        <w:t>The company's board composition is also notable, with 5 female board members. However, without additional context or comparative data, it is challenging to assess the representation of female leaders in senior management positions, as this metric is not available for this reporting period. The company recognizes the value of tracking and disclosing this information and intends to include the percentage of female senior managers in future reports.</w:t>
      </w:r>
    </w:p>
    <w:p>
      <w:pPr>
        <w:spacing w:after="160"/>
      </w:pPr>
      <w:r>
        <w:rPr>
          <w:rFonts w:ascii="Calibri" w:hAnsi="Calibri"/>
          <w:sz w:val="22"/>
        </w:rPr>
        <w:t>Similarly, data on ethnically diverse employees, pay gap percentages, and discrimination incidents are not available for this reporting period. The company is committed to developing and disclosing these metrics in future reports to provide a more comprehensive understanding of its diversity, equity, and inclusion landscape. The absence of data on DEI programmes and their outcomes also limits the company's ability to fully assess the effectiveness of its initiatives.</w:t>
      </w:r>
    </w:p>
    <w:p>
      <w:pPr>
        <w:spacing w:after="160"/>
      </w:pPr>
      <w:r>
        <w:rPr>
          <w:rFonts w:ascii="Calibri" w:hAnsi="Calibri"/>
          <w:sz w:val="22"/>
        </w:rPr>
        <w:t>Vantage Financial Services is aware of the gaps between its current state and best practices in diversity, equity, and inclusion. The company will continue to work towards improving its data collection and disclosure practices to ensure a more accurate and comprehensive representation of its DEI performance. As the company moves forward, it will prioritize the development of a more robust diversity, equity, and inclusion reporting framework, with the goal of publishing a more detailed and expansive report in the next annual sustainability report.</w:t>
      </w:r>
    </w:p>
    <w:p/>
    <w:p>
      <w:pPr>
        <w:pStyle w:val="Heading1"/>
      </w:pPr>
      <w:r>
        <w:rPr>
          <w:color w:val="1F3864"/>
          <w:sz w:val="32"/>
        </w:rPr>
        <w:t>Community Investment &amp; Business Ethics</w:t>
      </w:r>
    </w:p>
    <w:p>
      <w:r>
        <w:rPr>
          <w:i/>
          <w:color w:val="2E86AB"/>
          <w:sz w:val="18"/>
        </w:rPr>
        <w:t>GRI: GRI 205-1 / GRI 413-1</w:t>
      </w:r>
    </w:p>
    <w:p>
      <w:pPr>
        <w:spacing w:after="160"/>
      </w:pPr>
      <w:r>
        <w:rPr>
          <w:rFonts w:ascii="Calibri" w:hAnsi="Calibri"/>
          <w:sz w:val="22"/>
        </w:rPr>
        <w:t>Vantage Financial Services is committed to investing in the communities it serves, with a total community investment of USD 3,400,000 in the reporting period. This investment reflects the company's dedication to giving back to society and promoting social welfare. In addition to its community investment, the company has also implemented various initiatives to ensure responsible business practices throughout its supply chain. Notably, 91% of its suppliers have adopted a code of conduct, demonstrating a strong commitment to ethical business practices.</w:t>
      </w:r>
    </w:p>
    <w:p>
      <w:pPr>
        <w:spacing w:after="160"/>
      </w:pPr>
      <w:r>
        <w:rPr>
          <w:rFonts w:ascii="Calibri" w:hAnsi="Calibri"/>
          <w:sz w:val="22"/>
        </w:rPr>
        <w:t>The company has also conducted 28 supplier audits to ensure compliance with its code of conduct and to identify areas for improvement. Furthermore, Vantage Financial Services has implemented robust anti-corruption controls, with 100% of relevant staff having undergone anti-corruption training. This comprehensive training program is designed to prevent corruption and promote a culture of integrity within the organization.</w:t>
      </w:r>
    </w:p>
    <w:p>
      <w:pPr>
        <w:spacing w:after="160"/>
      </w:pPr>
      <w:r>
        <w:rPr>
          <w:rFonts w:ascii="Calibri" w:hAnsi="Calibri"/>
          <w:sz w:val="22"/>
        </w:rPr>
        <w:t>However, the company acknowledges that it experienced 1 data breach during the reporting period, as required to be disclosed under GRI 418-1. The company takes this incident seriously and has taken remedial action to address the breach. Measures have been implemented to prevent such incidents from recurring, including enhanced security protocols and employee training. The company is committed to transparency and accountability in its response to this incident.</w:t>
      </w:r>
    </w:p>
    <w:p>
      <w:pPr>
        <w:spacing w:after="160"/>
      </w:pPr>
      <w:r>
        <w:rPr>
          <w:rFonts w:ascii="Calibri" w:hAnsi="Calibri"/>
          <w:sz w:val="22"/>
        </w:rPr>
        <w:t>It is noted that certain metrics, such as volunteer hours, corruption incidents, whistleblower cases, and human rights assessments, are not available for this reporting period. These metrics will be developed and disclosed in future reporting periods, as part of the company's ongoing commitment to transparency and accountability. Looking ahead, Vantage Financial Services will continue to build on its community investment programmes and supplier ESG due diligence, with a focus on enhancing its data security measures to prevent future breaches.</w:t>
      </w:r>
    </w:p>
    <w:p/>
    <w:p>
      <w:pPr>
        <w:pStyle w:val="Heading1"/>
      </w:pPr>
      <w:r>
        <w:rPr>
          <w:color w:val="1F3864"/>
          <w:sz w:val="32"/>
        </w:rPr>
        <w:t>Sustainability Targets &amp; Forward Outlook</w:t>
      </w:r>
    </w:p>
    <w:p>
      <w:r>
        <w:rPr>
          <w:i/>
          <w:color w:val="2E86AB"/>
          <w:sz w:val="18"/>
        </w:rPr>
        <w:t>GRI: GRI 2-29 / TCFD Metrics &amp; Targets | TCFD: Metrics &amp; Targets</w:t>
      </w:r>
    </w:p>
    <w:p>
      <w:pPr>
        <w:spacing w:after="160"/>
      </w:pPr>
      <w:r>
        <w:rPr>
          <w:rFonts w:ascii="Calibri" w:hAnsi="Calibri"/>
          <w:sz w:val="22"/>
        </w:rPr>
        <w:t>As of the reporting period, Vantage Financial Services has not yet formalised quantitative sustainability targets. Establishing science-based targets is identified as a priority for the forthcoming period. The company's current sustainability performance is characterised by a renewable energy share of 61% of total energy consumption. In terms of greenhouse gas emissions, the company reported 1,200 tonnes CO2 equivalent in Scope 1 emissions, 9,800 tonnes CO2 equivalent in Scope 2 emissions, and 198,000 tonnes CO2 equivalent in Scope 3 emissions for the reporting year 2024.</w:t>
      </w:r>
    </w:p>
    <w:p>
      <w:pPr>
        <w:spacing w:after="160"/>
      </w:pPr>
      <w:r>
        <w:rPr>
          <w:rFonts w:ascii="Calibri" w:hAnsi="Calibri"/>
          <w:sz w:val="22"/>
        </w:rPr>
        <w:t>While the company has made progress in increasing its renewable energy share, the absence of formal targets limits the ability to assess progress towards specific sustainability objectives. The development of science-based targets will enable the company to establish a clear direction for its sustainability efforts and provide a framework for measuring progress.</w:t>
      </w:r>
    </w:p>
    <w:p>
      <w:pPr>
        <w:spacing w:after="160"/>
      </w:pPr>
      <w:r>
        <w:rPr>
          <w:rFonts w:ascii="Calibri" w:hAnsi="Calibri"/>
          <w:sz w:val="22"/>
        </w:rPr>
        <w:t>The company acknowledges the importance of transparency and disclosure in its sustainability reporting. However, certain optional KPIs, such as net zero target year, renewable energy target percentage, water reduction target percentage, waste diversion target percentage, and science-based targets, are not available for this reporting period. These metrics will be developed and disclosed in future reporting periods, providing a more comprehensive view of the company's sustainability performance.</w:t>
      </w:r>
    </w:p>
    <w:p>
      <w:pPr>
        <w:spacing w:after="160"/>
      </w:pPr>
      <w:r>
        <w:rPr>
          <w:rFonts w:ascii="Calibri" w:hAnsi="Calibri"/>
          <w:sz w:val="22"/>
        </w:rPr>
        <w:t>In the forthcoming period, Vantage Financial Services will focus on establishing a robust sustainability framework, including the development of quantitative targets and science-based commitments. The company will build on its current sustainability initiatives, including its renewable energy share of 61%, to drive progress towards a more sustainable future. Vantage Financial Services will continue to monitor and report on its Scope 1, Scope 2, and Scope 3 emissions, which totalled 209,000 tonnes CO2 equivalent in the reporting year 2024. The company will prioritise the development of its first science-based targets in the next reporting cycle.</w:t>
      </w:r>
    </w:p>
    <w:p/>
    <w:p>
      <w:r>
        <w:br w:type="page"/>
      </w:r>
    </w:p>
    <w:p>
      <w:pPr>
        <w:pStyle w:val="Heading1"/>
      </w:pPr>
      <w:r>
        <w:rPr>
          <w:color w:val="1F3864"/>
        </w:rPr>
        <w:t>Appendix: Validation Summary</w:t>
      </w:r>
    </w:p>
    <w:p>
      <w:r>
        <w:rPr>
          <w:sz w:val="22"/>
        </w:rPr>
        <w:t>The table below summarises the automated validation check performed on all LLM-generated content. Each numeric value in the report was cross-checked against the source CSV data within a 5% tolerance threshold. Flagged values require human review before publication.</w:t>
      </w:r>
    </w:p>
    <w:p/>
    <w:tbl>
      <w:tblPr>
        <w:tblStyle w:val="TableGrid"/>
        <w:tblW w:type="auto" w:w="0"/>
        <w:tblLook w:firstColumn="1" w:firstRow="1" w:lastColumn="0" w:lastRow="0" w:noHBand="0" w:noVBand="1" w:val="04A0"/>
      </w:tblPr>
      <w:tblGrid>
        <w:gridCol w:w="2266"/>
        <w:gridCol w:w="2266"/>
        <w:gridCol w:w="2266"/>
        <w:gridCol w:w="2266"/>
      </w:tblGrid>
      <w:tr>
        <w:tc>
          <w:tcPr>
            <w:tcW w:type="dxa" w:w="2266"/>
            <w:shd w:fill="1F3864" w:color="FFFFFF" w:val="clear"/>
          </w:tcPr>
          <w:p>
            <w:r>
              <w:rPr>
                <w:b/>
                <w:color w:val="FFFFFF"/>
                <w:sz w:val="18"/>
              </w:rPr>
              <w:t>Section</w:t>
            </w:r>
          </w:p>
        </w:tc>
        <w:tc>
          <w:tcPr>
            <w:tcW w:type="dxa" w:w="2266"/>
            <w:shd w:fill="1F3864" w:color="FFFFFF" w:val="clear"/>
          </w:tcPr>
          <w:p>
            <w:r>
              <w:rPr>
                <w:b/>
                <w:color w:val="FFFFFF"/>
                <w:sz w:val="18"/>
              </w:rPr>
              <w:t>Numbers Checked</w:t>
            </w:r>
          </w:p>
        </w:tc>
        <w:tc>
          <w:tcPr>
            <w:tcW w:type="dxa" w:w="2266"/>
            <w:shd w:fill="1F3864" w:color="FFFFFF" w:val="clear"/>
          </w:tcPr>
          <w:p>
            <w:r>
              <w:rPr>
                <w:b/>
                <w:color w:val="FFFFFF"/>
                <w:sz w:val="18"/>
              </w:rPr>
              <w:t>Flags Raised</w:t>
            </w:r>
          </w:p>
        </w:tc>
        <w:tc>
          <w:tcPr>
            <w:tcW w:type="dxa" w:w="2266"/>
            <w:shd w:fill="1F3864" w:color="FFFFFF" w:val="clear"/>
          </w:tcPr>
          <w:p>
            <w:r>
              <w:rPr>
                <w:b/>
                <w:color w:val="FFFFFF"/>
                <w:sz w:val="18"/>
              </w:rPr>
              <w:t>Status</w:t>
            </w:r>
          </w:p>
        </w:tc>
      </w:tr>
      <w:tr>
        <w:tc>
          <w:tcPr>
            <w:tcW w:type="dxa" w:w="2266"/>
          </w:tcPr>
          <w:p>
            <w:r>
              <w:rPr>
                <w:sz w:val="18"/>
              </w:rPr>
              <w:t>Company Overview &amp; Reporting Scope</w:t>
            </w:r>
          </w:p>
        </w:tc>
        <w:tc>
          <w:tcPr>
            <w:tcW w:type="dxa" w:w="2266"/>
          </w:tcPr>
          <w:p>
            <w:r>
              <w:rPr>
                <w:sz w:val="18"/>
              </w:rPr>
              <w:t>1</w:t>
            </w:r>
          </w:p>
        </w:tc>
        <w:tc>
          <w:tcPr>
            <w:tcW w:type="dxa" w:w="2266"/>
          </w:tcPr>
          <w:p>
            <w:r>
              <w:rPr>
                <w:sz w:val="18"/>
              </w:rPr>
              <w:t>0</w:t>
            </w:r>
          </w:p>
        </w:tc>
        <w:tc>
          <w:tcPr>
            <w:tcW w:type="dxa" w:w="2266"/>
          </w:tcPr>
          <w:p>
            <w:r>
              <w:rPr>
                <w:sz w:val="18"/>
              </w:rPr>
              <w:t>PASS ✓</w:t>
            </w:r>
          </w:p>
        </w:tc>
      </w:tr>
      <w:tr>
        <w:tc>
          <w:tcPr>
            <w:tcW w:type="dxa" w:w="2266"/>
          </w:tcPr>
          <w:p>
            <w:r>
              <w:rPr>
                <w:sz w:val="18"/>
              </w:rPr>
              <w:t>Governance &amp; Sustainability Leadership</w:t>
            </w:r>
          </w:p>
        </w:tc>
        <w:tc>
          <w:tcPr>
            <w:tcW w:type="dxa" w:w="2266"/>
          </w:tcPr>
          <w:p>
            <w:r>
              <w:rPr>
                <w:sz w:val="18"/>
              </w:rPr>
              <w:t>5</w:t>
            </w:r>
          </w:p>
        </w:tc>
        <w:tc>
          <w:tcPr>
            <w:tcW w:type="dxa" w:w="2266"/>
          </w:tcPr>
          <w:p>
            <w:r>
              <w:rPr>
                <w:sz w:val="18"/>
              </w:rPr>
              <w:t>0</w:t>
            </w:r>
          </w:p>
        </w:tc>
        <w:tc>
          <w:tcPr>
            <w:tcW w:type="dxa" w:w="2266"/>
          </w:tcPr>
          <w:p>
            <w:r>
              <w:rPr>
                <w:sz w:val="18"/>
              </w:rPr>
              <w:t>PASS ✓</w:t>
            </w:r>
          </w:p>
        </w:tc>
      </w:tr>
      <w:tr>
        <w:tc>
          <w:tcPr>
            <w:tcW w:type="dxa" w:w="2266"/>
          </w:tcPr>
          <w:p>
            <w:r>
              <w:rPr>
                <w:sz w:val="18"/>
              </w:rPr>
              <w:t>Climate Strategy &amp; Risk Management</w:t>
            </w:r>
          </w:p>
        </w:tc>
        <w:tc>
          <w:tcPr>
            <w:tcW w:type="dxa" w:w="2266"/>
          </w:tcPr>
          <w:p>
            <w:r>
              <w:rPr>
                <w:sz w:val="18"/>
              </w:rPr>
              <w:t>6</w:t>
            </w:r>
          </w:p>
        </w:tc>
        <w:tc>
          <w:tcPr>
            <w:tcW w:type="dxa" w:w="2266"/>
          </w:tcPr>
          <w:p>
            <w:r>
              <w:rPr>
                <w:sz w:val="18"/>
              </w:rPr>
              <w:t>0</w:t>
            </w:r>
          </w:p>
        </w:tc>
        <w:tc>
          <w:tcPr>
            <w:tcW w:type="dxa" w:w="2266"/>
          </w:tcPr>
          <w:p>
            <w:r>
              <w:rPr>
                <w:sz w:val="18"/>
              </w:rPr>
              <w:t>PASS ✓</w:t>
            </w:r>
          </w:p>
        </w:tc>
      </w:tr>
      <w:tr>
        <w:tc>
          <w:tcPr>
            <w:tcW w:type="dxa" w:w="2266"/>
          </w:tcPr>
          <w:p>
            <w:r>
              <w:rPr>
                <w:sz w:val="18"/>
              </w:rPr>
              <w:t>Energy Consumption &amp; Efficiency</w:t>
            </w:r>
          </w:p>
        </w:tc>
        <w:tc>
          <w:tcPr>
            <w:tcW w:type="dxa" w:w="2266"/>
          </w:tcPr>
          <w:p>
            <w:r>
              <w:rPr>
                <w:sz w:val="18"/>
              </w:rPr>
              <w:t>4</w:t>
            </w:r>
          </w:p>
        </w:tc>
        <w:tc>
          <w:tcPr>
            <w:tcW w:type="dxa" w:w="2266"/>
          </w:tcPr>
          <w:p>
            <w:r>
              <w:rPr>
                <w:sz w:val="18"/>
              </w:rPr>
              <w:t>1</w:t>
            </w:r>
          </w:p>
        </w:tc>
        <w:tc>
          <w:tcPr>
            <w:tcW w:type="dxa" w:w="2266"/>
          </w:tcPr>
          <w:p>
            <w:r>
              <w:rPr>
                <w:color w:val="C00000"/>
                <w:sz w:val="18"/>
              </w:rPr>
              <w:t>REVIEW ⚠</w:t>
            </w:r>
          </w:p>
        </w:tc>
      </w:tr>
      <w:tr>
        <w:tc>
          <w:tcPr>
            <w:tcW w:type="dxa" w:w="2266"/>
          </w:tcPr>
          <w:p>
            <w:r>
              <w:rPr>
                <w:sz w:val="18"/>
              </w:rPr>
              <w:t>Greenhouse Gas Emissions</w:t>
            </w:r>
          </w:p>
        </w:tc>
        <w:tc>
          <w:tcPr>
            <w:tcW w:type="dxa" w:w="2266"/>
          </w:tcPr>
          <w:p>
            <w:r>
              <w:rPr>
                <w:sz w:val="18"/>
              </w:rPr>
              <w:t>3</w:t>
            </w:r>
          </w:p>
        </w:tc>
        <w:tc>
          <w:tcPr>
            <w:tcW w:type="dxa" w:w="2266"/>
          </w:tcPr>
          <w:p>
            <w:r>
              <w:rPr>
                <w:sz w:val="18"/>
              </w:rPr>
              <w:t>0</w:t>
            </w:r>
          </w:p>
        </w:tc>
        <w:tc>
          <w:tcPr>
            <w:tcW w:type="dxa" w:w="2266"/>
          </w:tcPr>
          <w:p>
            <w:r>
              <w:rPr>
                <w:sz w:val="18"/>
              </w:rPr>
              <w:t>PASS ✓</w:t>
            </w:r>
          </w:p>
        </w:tc>
      </w:tr>
      <w:tr>
        <w:tc>
          <w:tcPr>
            <w:tcW w:type="dxa" w:w="2266"/>
          </w:tcPr>
          <w:p>
            <w:r>
              <w:rPr>
                <w:sz w:val="18"/>
              </w:rPr>
              <w:t>Water Stewardship</w:t>
            </w:r>
          </w:p>
        </w:tc>
        <w:tc>
          <w:tcPr>
            <w:tcW w:type="dxa" w:w="2266"/>
          </w:tcPr>
          <w:p>
            <w:r>
              <w:rPr>
                <w:sz w:val="18"/>
              </w:rPr>
              <w:t>1</w:t>
            </w:r>
          </w:p>
        </w:tc>
        <w:tc>
          <w:tcPr>
            <w:tcW w:type="dxa" w:w="2266"/>
          </w:tcPr>
          <w:p>
            <w:r>
              <w:rPr>
                <w:sz w:val="18"/>
              </w:rPr>
              <w:t>0</w:t>
            </w:r>
          </w:p>
        </w:tc>
        <w:tc>
          <w:tcPr>
            <w:tcW w:type="dxa" w:w="2266"/>
          </w:tcPr>
          <w:p>
            <w:r>
              <w:rPr>
                <w:sz w:val="18"/>
              </w:rPr>
              <w:t>PASS ✓</w:t>
            </w:r>
          </w:p>
        </w:tc>
      </w:tr>
      <w:tr>
        <w:tc>
          <w:tcPr>
            <w:tcW w:type="dxa" w:w="2266"/>
          </w:tcPr>
          <w:p>
            <w:r>
              <w:rPr>
                <w:sz w:val="18"/>
              </w:rPr>
              <w:t>Waste Management &amp; Circular Economy</w:t>
            </w:r>
          </w:p>
        </w:tc>
        <w:tc>
          <w:tcPr>
            <w:tcW w:type="dxa" w:w="2266"/>
          </w:tcPr>
          <w:p>
            <w:r>
              <w:rPr>
                <w:sz w:val="18"/>
              </w:rPr>
              <w:t>2</w:t>
            </w:r>
          </w:p>
        </w:tc>
        <w:tc>
          <w:tcPr>
            <w:tcW w:type="dxa" w:w="2266"/>
          </w:tcPr>
          <w:p>
            <w:r>
              <w:rPr>
                <w:sz w:val="18"/>
              </w:rPr>
              <w:t>0</w:t>
            </w:r>
          </w:p>
        </w:tc>
        <w:tc>
          <w:tcPr>
            <w:tcW w:type="dxa" w:w="2266"/>
          </w:tcPr>
          <w:p>
            <w:r>
              <w:rPr>
                <w:sz w:val="18"/>
              </w:rPr>
              <w:t>PASS ✓</w:t>
            </w:r>
          </w:p>
        </w:tc>
      </w:tr>
      <w:tr>
        <w:tc>
          <w:tcPr>
            <w:tcW w:type="dxa" w:w="2266"/>
          </w:tcPr>
          <w:p>
            <w:r>
              <w:rPr>
                <w:sz w:val="18"/>
              </w:rPr>
              <w:t>Workforce &amp; Human Capital</w:t>
            </w:r>
          </w:p>
        </w:tc>
        <w:tc>
          <w:tcPr>
            <w:tcW w:type="dxa" w:w="2266"/>
          </w:tcPr>
          <w:p>
            <w:r>
              <w:rPr>
                <w:sz w:val="18"/>
              </w:rPr>
              <w:t>5</w:t>
            </w:r>
          </w:p>
        </w:tc>
        <w:tc>
          <w:tcPr>
            <w:tcW w:type="dxa" w:w="2266"/>
          </w:tcPr>
          <w:p>
            <w:r>
              <w:rPr>
                <w:sz w:val="18"/>
              </w:rPr>
              <w:t>0</w:t>
            </w:r>
          </w:p>
        </w:tc>
        <w:tc>
          <w:tcPr>
            <w:tcW w:type="dxa" w:w="2266"/>
          </w:tcPr>
          <w:p>
            <w:r>
              <w:rPr>
                <w:sz w:val="18"/>
              </w:rPr>
              <w:t>PASS ✓</w:t>
            </w:r>
          </w:p>
        </w:tc>
      </w:tr>
      <w:tr>
        <w:tc>
          <w:tcPr>
            <w:tcW w:type="dxa" w:w="2266"/>
          </w:tcPr>
          <w:p>
            <w:r>
              <w:rPr>
                <w:sz w:val="18"/>
              </w:rPr>
              <w:t>Occupational Health &amp; Safety</w:t>
            </w:r>
          </w:p>
        </w:tc>
        <w:tc>
          <w:tcPr>
            <w:tcW w:type="dxa" w:w="2266"/>
          </w:tcPr>
          <w:p>
            <w:r>
              <w:rPr>
                <w:sz w:val="18"/>
              </w:rPr>
              <w:t>2</w:t>
            </w:r>
          </w:p>
        </w:tc>
        <w:tc>
          <w:tcPr>
            <w:tcW w:type="dxa" w:w="2266"/>
          </w:tcPr>
          <w:p>
            <w:r>
              <w:rPr>
                <w:sz w:val="18"/>
              </w:rPr>
              <w:t>0</w:t>
            </w:r>
          </w:p>
        </w:tc>
        <w:tc>
          <w:tcPr>
            <w:tcW w:type="dxa" w:w="2266"/>
          </w:tcPr>
          <w:p>
            <w:r>
              <w:rPr>
                <w:sz w:val="18"/>
              </w:rPr>
              <w:t>PASS ✓</w:t>
            </w:r>
          </w:p>
        </w:tc>
      </w:tr>
      <w:tr>
        <w:tc>
          <w:tcPr>
            <w:tcW w:type="dxa" w:w="2266"/>
          </w:tcPr>
          <w:p>
            <w:r>
              <w:rPr>
                <w:sz w:val="18"/>
              </w:rPr>
              <w:t>Diversity, Equity &amp; Inclusion</w:t>
            </w:r>
          </w:p>
        </w:tc>
        <w:tc>
          <w:tcPr>
            <w:tcW w:type="dxa" w:w="2266"/>
          </w:tcPr>
          <w:p>
            <w:r>
              <w:rPr>
                <w:sz w:val="18"/>
              </w:rPr>
              <w:t>2</w:t>
            </w:r>
          </w:p>
        </w:tc>
        <w:tc>
          <w:tcPr>
            <w:tcW w:type="dxa" w:w="2266"/>
          </w:tcPr>
          <w:p>
            <w:r>
              <w:rPr>
                <w:sz w:val="18"/>
              </w:rPr>
              <w:t>0</w:t>
            </w:r>
          </w:p>
        </w:tc>
        <w:tc>
          <w:tcPr>
            <w:tcW w:type="dxa" w:w="2266"/>
          </w:tcPr>
          <w:p>
            <w:r>
              <w:rPr>
                <w:sz w:val="18"/>
              </w:rPr>
              <w:t>PASS ✓</w:t>
            </w:r>
          </w:p>
        </w:tc>
      </w:tr>
      <w:tr>
        <w:tc>
          <w:tcPr>
            <w:tcW w:type="dxa" w:w="2266"/>
          </w:tcPr>
          <w:p>
            <w:r>
              <w:rPr>
                <w:sz w:val="18"/>
              </w:rPr>
              <w:t>Community Investment &amp; Business Ethics</w:t>
            </w:r>
          </w:p>
        </w:tc>
        <w:tc>
          <w:tcPr>
            <w:tcW w:type="dxa" w:w="2266"/>
          </w:tcPr>
          <w:p>
            <w:r>
              <w:rPr>
                <w:sz w:val="18"/>
              </w:rPr>
              <w:t>3</w:t>
            </w:r>
          </w:p>
        </w:tc>
        <w:tc>
          <w:tcPr>
            <w:tcW w:type="dxa" w:w="2266"/>
          </w:tcPr>
          <w:p>
            <w:r>
              <w:rPr>
                <w:sz w:val="18"/>
              </w:rPr>
              <w:t>0</w:t>
            </w:r>
          </w:p>
        </w:tc>
        <w:tc>
          <w:tcPr>
            <w:tcW w:type="dxa" w:w="2266"/>
          </w:tcPr>
          <w:p>
            <w:r>
              <w:rPr>
                <w:sz w:val="18"/>
              </w:rPr>
              <w:t>PASS ✓</w:t>
            </w:r>
          </w:p>
        </w:tc>
      </w:tr>
      <w:tr>
        <w:tc>
          <w:tcPr>
            <w:tcW w:type="dxa" w:w="2266"/>
          </w:tcPr>
          <w:p>
            <w:r>
              <w:rPr>
                <w:sz w:val="18"/>
              </w:rPr>
              <w:t>Sustainability Targets &amp; Forward Outlook</w:t>
            </w:r>
          </w:p>
        </w:tc>
        <w:tc>
          <w:tcPr>
            <w:tcW w:type="dxa" w:w="2266"/>
          </w:tcPr>
          <w:p>
            <w:r>
              <w:rPr>
                <w:sz w:val="18"/>
              </w:rPr>
              <w:t>6</w:t>
            </w:r>
          </w:p>
        </w:tc>
        <w:tc>
          <w:tcPr>
            <w:tcW w:type="dxa" w:w="2266"/>
          </w:tcPr>
          <w:p>
            <w:r>
              <w:rPr>
                <w:sz w:val="18"/>
              </w:rPr>
              <w:t>1</w:t>
            </w:r>
          </w:p>
        </w:tc>
        <w:tc>
          <w:tcPr>
            <w:tcW w:type="dxa" w:w="2266"/>
          </w:tcPr>
          <w:p>
            <w:r>
              <w:rPr>
                <w:color w:val="C00000"/>
                <w:sz w:val="18"/>
              </w:rPr>
              <w:t>REVIEW ⚠</w:t>
            </w:r>
          </w:p>
        </w:tc>
      </w:tr>
    </w:tbl>
    <w:p/>
    <w:p>
      <w:r>
        <w:rPr>
          <w:b/>
          <w:color w:val="C00000"/>
          <w:sz w:val="22"/>
        </w:rPr>
        <w:t>Overall validation status: REVIEW REQUIRED — 2 flag(s) raised across 12 sections.</w:t>
      </w:r>
    </w:p>
    <w:p/>
    <w:p>
      <w:pPr>
        <w:pStyle w:val="Heading2"/>
      </w:pPr>
      <w:r>
        <w:t>Flagged Values — Detail</w:t>
      </w:r>
    </w:p>
    <w:p>
      <w:r>
        <w:rPr>
          <w:b/>
        </w:rPr>
        <w:t>Energy Consumption &amp; Efficiency:</w:t>
      </w:r>
    </w:p>
    <w:p>
      <w:pPr>
        <w:pStyle w:val="ListBullet"/>
      </w:pPr>
      <w:r>
        <w:t xml:space="preserve">  • Value '39' could not be matched to source data. Closest source: renewable_energy_pct = 61.0 (deviation: 36.1%)</w:t>
      </w:r>
    </w:p>
    <w:p>
      <w:r>
        <w:rPr>
          <w:b/>
        </w:rPr>
        <w:t>Sustainability Targets &amp; Forward Outlook:</w:t>
      </w:r>
    </w:p>
    <w:p>
      <w:pPr>
        <w:pStyle w:val="ListBullet"/>
      </w:pPr>
      <w:r>
        <w:t xml:space="preserve">  • Value '209,000' could not be matched to source data. Closest source: scope3_emissions_tco2e = 198000.0 (deviation: 5.6%)</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Confidential — AI-Assisted Draft  |  Vantage Financial Services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