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68CA" w:rsidRPr="000268CA" w:rsidRDefault="000268CA" w:rsidP="000268C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bookmarkStart w:id="0" w:name="_GoBack"/>
      <w:bookmarkEnd w:id="0"/>
      <w:r w:rsidRPr="000268CA">
        <w:rPr>
          <w:rFonts w:ascii="Times New Roman" w:eastAsia="Times New Roman" w:hAnsi="Times New Roman" w:cs="Times New Roman"/>
          <w:b/>
          <w:bCs/>
          <w:sz w:val="27"/>
          <w:szCs w:val="27"/>
          <w:lang w:eastAsia="en-GB"/>
        </w:rPr>
        <w:t>A. AI-Driven Legal Assistance</w:t>
      </w:r>
    </w:p>
    <w:p w:rsidR="000268CA" w:rsidRPr="000268CA" w:rsidRDefault="000268CA" w:rsidP="000268CA">
      <w:pPr>
        <w:spacing w:before="100" w:beforeAutospacing="1" w:after="100" w:afterAutospacing="1" w:line="240" w:lineRule="auto"/>
        <w:rPr>
          <w:rFonts w:ascii="Times New Roman" w:eastAsia="Times New Roman" w:hAnsi="Times New Roman" w:cs="Times New Roman"/>
          <w:sz w:val="24"/>
          <w:szCs w:val="24"/>
          <w:lang w:eastAsia="en-GB"/>
        </w:rPr>
      </w:pPr>
      <w:r w:rsidRPr="000268CA">
        <w:rPr>
          <w:rFonts w:ascii="Times New Roman" w:eastAsia="Times New Roman" w:hAnsi="Times New Roman" w:cs="Times New Roman"/>
          <w:sz w:val="24"/>
          <w:szCs w:val="24"/>
          <w:lang w:eastAsia="en-GB"/>
        </w:rPr>
        <w:t xml:space="preserve">Farook </w:t>
      </w:r>
      <w:r w:rsidRPr="000268CA">
        <w:rPr>
          <w:rFonts w:ascii="Times New Roman" w:eastAsia="Times New Roman" w:hAnsi="Times New Roman" w:cs="Times New Roman"/>
          <w:i/>
          <w:iCs/>
          <w:sz w:val="24"/>
          <w:szCs w:val="24"/>
          <w:lang w:eastAsia="en-GB"/>
        </w:rPr>
        <w:t>et al.</w:t>
      </w:r>
      <w:r w:rsidRPr="000268CA">
        <w:rPr>
          <w:rFonts w:ascii="Times New Roman" w:eastAsia="Times New Roman" w:hAnsi="Times New Roman" w:cs="Times New Roman"/>
          <w:sz w:val="24"/>
          <w:szCs w:val="24"/>
          <w:lang w:eastAsia="en-GB"/>
        </w:rPr>
        <w:t xml:space="preserve"> [1] presented an AI-based legal support system aimed at addressing legal illiteracy and ensuring equal access to justice. The authors highlighted that individuals from poor and less-educated communities often lack awareness of their legal rights, resulting in an inability to defend themselves within the legal system. Their study proposed a smart legal assistance framework capable of guiding citizens by providing relevant laws, legal terminology, and case-specific recommendations.</w:t>
      </w:r>
    </w:p>
    <w:p w:rsidR="000268CA" w:rsidRPr="000268CA" w:rsidRDefault="000268CA" w:rsidP="000268CA">
      <w:pPr>
        <w:spacing w:before="100" w:beforeAutospacing="1" w:after="100" w:afterAutospacing="1" w:line="240" w:lineRule="auto"/>
        <w:rPr>
          <w:rFonts w:ascii="Times New Roman" w:eastAsia="Times New Roman" w:hAnsi="Times New Roman" w:cs="Times New Roman"/>
          <w:sz w:val="24"/>
          <w:szCs w:val="24"/>
          <w:lang w:eastAsia="en-GB"/>
        </w:rPr>
      </w:pPr>
      <w:r w:rsidRPr="000268CA">
        <w:rPr>
          <w:rFonts w:ascii="Times New Roman" w:eastAsia="Times New Roman" w:hAnsi="Times New Roman" w:cs="Times New Roman"/>
          <w:sz w:val="24"/>
          <w:szCs w:val="24"/>
          <w:lang w:eastAsia="en-GB"/>
        </w:rPr>
        <w:t xml:space="preserve">To develop this system, the researchers incorporated advanced Natural Language Processing (NLP) techniques including document pre-processing, feature extraction, and </w:t>
      </w:r>
      <w:r w:rsidRPr="000268CA">
        <w:rPr>
          <w:rFonts w:ascii="Times New Roman" w:eastAsia="Times New Roman" w:hAnsi="Times New Roman" w:cs="Times New Roman"/>
          <w:b/>
          <w:bCs/>
          <w:sz w:val="24"/>
          <w:szCs w:val="24"/>
          <w:lang w:eastAsia="en-GB"/>
        </w:rPr>
        <w:t>BERT-based vectorization</w:t>
      </w:r>
      <w:r w:rsidRPr="000268CA">
        <w:rPr>
          <w:rFonts w:ascii="Times New Roman" w:eastAsia="Times New Roman" w:hAnsi="Times New Roman" w:cs="Times New Roman"/>
          <w:sz w:val="24"/>
          <w:szCs w:val="24"/>
          <w:lang w:eastAsia="en-GB"/>
        </w:rPr>
        <w:t xml:space="preserve"> for effective text representation. A </w:t>
      </w:r>
      <w:r w:rsidRPr="000268CA">
        <w:rPr>
          <w:rFonts w:ascii="Times New Roman" w:eastAsia="Times New Roman" w:hAnsi="Times New Roman" w:cs="Times New Roman"/>
          <w:b/>
          <w:bCs/>
          <w:sz w:val="24"/>
          <w:szCs w:val="24"/>
          <w:lang w:eastAsia="en-GB"/>
        </w:rPr>
        <w:t>hybrid deep learning model</w:t>
      </w:r>
      <w:r w:rsidRPr="000268CA">
        <w:rPr>
          <w:rFonts w:ascii="Times New Roman" w:eastAsia="Times New Roman" w:hAnsi="Times New Roman" w:cs="Times New Roman"/>
          <w:sz w:val="24"/>
          <w:szCs w:val="24"/>
          <w:lang w:eastAsia="en-GB"/>
        </w:rPr>
        <w:t xml:space="preserve"> combining </w:t>
      </w:r>
      <w:r w:rsidRPr="000268CA">
        <w:rPr>
          <w:rFonts w:ascii="Times New Roman" w:eastAsia="Times New Roman" w:hAnsi="Times New Roman" w:cs="Times New Roman"/>
          <w:b/>
          <w:bCs/>
          <w:sz w:val="24"/>
          <w:szCs w:val="24"/>
          <w:lang w:eastAsia="en-GB"/>
        </w:rPr>
        <w:t>CNN, LSTM, and RNN</w:t>
      </w:r>
      <w:r w:rsidRPr="000268CA">
        <w:rPr>
          <w:rFonts w:ascii="Times New Roman" w:eastAsia="Times New Roman" w:hAnsi="Times New Roman" w:cs="Times New Roman"/>
          <w:sz w:val="24"/>
          <w:szCs w:val="24"/>
          <w:lang w:eastAsia="en-GB"/>
        </w:rPr>
        <w:t xml:space="preserve"> architectures was implemented to classify legal documents and predict case-related outcomes. They also introduced a </w:t>
      </w:r>
      <w:r w:rsidRPr="000268CA">
        <w:rPr>
          <w:rFonts w:ascii="Times New Roman" w:eastAsia="Times New Roman" w:hAnsi="Times New Roman" w:cs="Times New Roman"/>
          <w:b/>
          <w:bCs/>
          <w:sz w:val="24"/>
          <w:szCs w:val="24"/>
          <w:lang w:eastAsia="en-GB"/>
        </w:rPr>
        <w:t>collaborative learning approach</w:t>
      </w:r>
      <w:r w:rsidRPr="000268CA">
        <w:rPr>
          <w:rFonts w:ascii="Times New Roman" w:eastAsia="Times New Roman" w:hAnsi="Times New Roman" w:cs="Times New Roman"/>
          <w:sz w:val="24"/>
          <w:szCs w:val="24"/>
          <w:lang w:eastAsia="en-GB"/>
        </w:rPr>
        <w:t xml:space="preserve"> to improve predictive performance by leveraging strengths from multiple models.</w:t>
      </w:r>
    </w:p>
    <w:p w:rsidR="000268CA" w:rsidRPr="000268CA" w:rsidRDefault="000268CA" w:rsidP="000268CA">
      <w:pPr>
        <w:spacing w:before="100" w:beforeAutospacing="1" w:after="100" w:afterAutospacing="1" w:line="240" w:lineRule="auto"/>
        <w:rPr>
          <w:rFonts w:ascii="Times New Roman" w:eastAsia="Times New Roman" w:hAnsi="Times New Roman" w:cs="Times New Roman"/>
          <w:sz w:val="24"/>
          <w:szCs w:val="24"/>
          <w:lang w:eastAsia="en-GB"/>
        </w:rPr>
      </w:pPr>
      <w:r w:rsidRPr="000268CA">
        <w:rPr>
          <w:rFonts w:ascii="Times New Roman" w:eastAsia="Times New Roman" w:hAnsi="Times New Roman" w:cs="Times New Roman"/>
          <w:sz w:val="24"/>
          <w:szCs w:val="24"/>
          <w:lang w:eastAsia="en-GB"/>
        </w:rPr>
        <w:t xml:space="preserve">The dataset used for experiments was sourced from reliable platforms such as </w:t>
      </w:r>
      <w:proofErr w:type="spellStart"/>
      <w:r w:rsidRPr="000268CA">
        <w:rPr>
          <w:rFonts w:ascii="Times New Roman" w:eastAsia="Times New Roman" w:hAnsi="Times New Roman" w:cs="Times New Roman"/>
          <w:sz w:val="24"/>
          <w:szCs w:val="24"/>
          <w:lang w:eastAsia="en-GB"/>
        </w:rPr>
        <w:t>Kaggle</w:t>
      </w:r>
      <w:proofErr w:type="spellEnd"/>
      <w:r w:rsidRPr="000268CA">
        <w:rPr>
          <w:rFonts w:ascii="Times New Roman" w:eastAsia="Times New Roman" w:hAnsi="Times New Roman" w:cs="Times New Roman"/>
          <w:sz w:val="24"/>
          <w:szCs w:val="24"/>
          <w:lang w:eastAsia="en-GB"/>
        </w:rPr>
        <w:t xml:space="preserve">, and the system achieved an </w:t>
      </w:r>
      <w:r w:rsidRPr="000268CA">
        <w:rPr>
          <w:rFonts w:ascii="Times New Roman" w:eastAsia="Times New Roman" w:hAnsi="Times New Roman" w:cs="Times New Roman"/>
          <w:b/>
          <w:bCs/>
          <w:sz w:val="24"/>
          <w:szCs w:val="24"/>
          <w:lang w:eastAsia="en-GB"/>
        </w:rPr>
        <w:t>accuracy rate of nearly 85%</w:t>
      </w:r>
      <w:r w:rsidRPr="000268CA">
        <w:rPr>
          <w:rFonts w:ascii="Times New Roman" w:eastAsia="Times New Roman" w:hAnsi="Times New Roman" w:cs="Times New Roman"/>
          <w:sz w:val="24"/>
          <w:szCs w:val="24"/>
          <w:lang w:eastAsia="en-GB"/>
        </w:rPr>
        <w:t>, outperforming traditional machine learning approaches. Their solution provides real-time document classification and personalized legal assistance, acting as a technological bridge between the general public and complex judicial systems.</w:t>
      </w:r>
    </w:p>
    <w:p w:rsidR="000268CA" w:rsidRDefault="000268CA" w:rsidP="000268CA">
      <w:pPr>
        <w:spacing w:before="100" w:beforeAutospacing="1" w:after="100" w:afterAutospacing="1" w:line="240" w:lineRule="auto"/>
        <w:rPr>
          <w:rFonts w:ascii="Times New Roman" w:eastAsia="Times New Roman" w:hAnsi="Times New Roman" w:cs="Times New Roman"/>
          <w:sz w:val="24"/>
          <w:szCs w:val="24"/>
          <w:lang w:eastAsia="en-GB"/>
        </w:rPr>
      </w:pPr>
      <w:r w:rsidRPr="000268CA">
        <w:rPr>
          <w:rFonts w:ascii="Times New Roman" w:eastAsia="Times New Roman" w:hAnsi="Times New Roman" w:cs="Times New Roman"/>
          <w:sz w:val="24"/>
          <w:szCs w:val="24"/>
          <w:lang w:eastAsia="en-GB"/>
        </w:rPr>
        <w:t>While the study demonstrates strong performance, the authors acknowledged challenges such as dataset limitations, absence of multilingual support, and the need for improved explainability in legal judgments. Future enhancements may focus on strengthening legal data resources, integrating privacy protection mechanisms, and facilitating real-world deployment within justice systems.</w:t>
      </w:r>
    </w:p>
    <w:p w:rsidR="000268CA" w:rsidRPr="000268CA" w:rsidRDefault="000268CA" w:rsidP="000268CA">
      <w:pPr>
        <w:spacing w:before="100" w:beforeAutospacing="1" w:after="100" w:afterAutospacing="1" w:line="240" w:lineRule="auto"/>
        <w:rPr>
          <w:rFonts w:ascii="Times New Roman" w:eastAsia="Times New Roman" w:hAnsi="Times New Roman" w:cs="Times New Roman"/>
          <w:b/>
          <w:sz w:val="28"/>
          <w:szCs w:val="24"/>
          <w:u w:val="single"/>
          <w:lang w:eastAsia="en-GB"/>
        </w:rPr>
      </w:pPr>
      <w:r w:rsidRPr="000268CA">
        <w:rPr>
          <w:rFonts w:ascii="Times New Roman" w:eastAsia="Times New Roman" w:hAnsi="Times New Roman" w:cs="Times New Roman"/>
          <w:b/>
          <w:sz w:val="28"/>
          <w:szCs w:val="24"/>
          <w:u w:val="single"/>
          <w:lang w:eastAsia="en-GB"/>
        </w:rPr>
        <w:t>References:</w:t>
      </w:r>
    </w:p>
    <w:p w:rsidR="000268CA" w:rsidRDefault="000268CA" w:rsidP="000268CA">
      <w:r>
        <w:t xml:space="preserve">[1] A. M. Farook, W. Kingston and S. K. </w:t>
      </w:r>
      <w:proofErr w:type="spellStart"/>
      <w:r>
        <w:t>Kannaiah</w:t>
      </w:r>
      <w:proofErr w:type="spellEnd"/>
      <w:r>
        <w:t>, “Enlightening Justice: Empowering Society Through AI-Driven Legal Assistance,” in Proc. 2024 Second Int. Conf. Adv. Inf. Technol. (ICAIT), 2024, vol. 1, pp. 1–7.</w:t>
      </w:r>
    </w:p>
    <w:p w:rsidR="000268CA" w:rsidRDefault="000268CA" w:rsidP="000268CA"/>
    <w:p w:rsidR="000268CA" w:rsidRDefault="000268CA" w:rsidP="000268CA">
      <w:r>
        <w:t xml:space="preserve">[2] A. </w:t>
      </w:r>
      <w:proofErr w:type="spellStart"/>
      <w:r>
        <w:t>Tagarelli</w:t>
      </w:r>
      <w:proofErr w:type="spellEnd"/>
      <w:r>
        <w:t xml:space="preserve"> and A. </w:t>
      </w:r>
      <w:proofErr w:type="spellStart"/>
      <w:r>
        <w:t>Simeri</w:t>
      </w:r>
      <w:proofErr w:type="spellEnd"/>
      <w:r>
        <w:t xml:space="preserve">, “Unsupervised law article mining based on deep pre-trained language representation models with application to the Italian civil code,” Artificial Intelligence and Law, vol. 29, no. 3, pp. 301–327, 2021. </w:t>
      </w:r>
      <w:proofErr w:type="gramStart"/>
      <w:r>
        <w:t>:</w:t>
      </w:r>
      <w:proofErr w:type="spellStart"/>
      <w:r>
        <w:t>contentReference</w:t>
      </w:r>
      <w:proofErr w:type="spellEnd"/>
      <w:proofErr w:type="gramEnd"/>
      <w:r>
        <w:t>[oaicite:0]{index=0}</w:t>
      </w:r>
    </w:p>
    <w:p w:rsidR="000268CA" w:rsidRDefault="000268CA" w:rsidP="000268CA"/>
    <w:p w:rsidR="000268CA" w:rsidRDefault="000268CA" w:rsidP="000268CA">
      <w:r>
        <w:t xml:space="preserve">[3] R. M. Bakker, A. J. </w:t>
      </w:r>
      <w:proofErr w:type="spellStart"/>
      <w:r>
        <w:t>Schoevers</w:t>
      </w:r>
      <w:proofErr w:type="spellEnd"/>
      <w:r>
        <w:t xml:space="preserve">, R. A. N. van </w:t>
      </w:r>
      <w:proofErr w:type="spellStart"/>
      <w:r>
        <w:t>Drie</w:t>
      </w:r>
      <w:proofErr w:type="spellEnd"/>
      <w:r>
        <w:t xml:space="preserve"> *et al.*, “Semantic role extraction in law texts: a comparative analysis of language models for legal information extraction,” Artificial Intelligence and Law, 2025. </w:t>
      </w:r>
      <w:proofErr w:type="gramStart"/>
      <w:r>
        <w:t>:</w:t>
      </w:r>
      <w:proofErr w:type="spellStart"/>
      <w:r>
        <w:t>contentReference</w:t>
      </w:r>
      <w:proofErr w:type="spellEnd"/>
      <w:proofErr w:type="gramEnd"/>
      <w:r>
        <w:t>[oaicite:1]{index=1}</w:t>
      </w:r>
    </w:p>
    <w:p w:rsidR="000268CA" w:rsidRDefault="000268CA" w:rsidP="000268CA"/>
    <w:p w:rsidR="000268CA" w:rsidRDefault="000268CA" w:rsidP="000268CA">
      <w:r>
        <w:t xml:space="preserve">[4] “A survey of classification tasks and approaches for legal contracts,” Artificial Intelligence Review, vol. 58, article 380, 2025. </w:t>
      </w:r>
      <w:proofErr w:type="gramStart"/>
      <w:r>
        <w:t>:</w:t>
      </w:r>
      <w:proofErr w:type="spellStart"/>
      <w:r>
        <w:t>contentReference</w:t>
      </w:r>
      <w:proofErr w:type="spellEnd"/>
      <w:proofErr w:type="gramEnd"/>
      <w:r>
        <w:t>[oaicite:2]{index=2}</w:t>
      </w:r>
    </w:p>
    <w:p w:rsidR="000268CA" w:rsidRDefault="000268CA" w:rsidP="000268CA"/>
    <w:p w:rsidR="000268CA" w:rsidRDefault="000268CA" w:rsidP="000268CA">
      <w:r>
        <w:lastRenderedPageBreak/>
        <w:t xml:space="preserve">[5] </w:t>
      </w:r>
      <w:proofErr w:type="spellStart"/>
      <w:r>
        <w:t>Meesa</w:t>
      </w:r>
      <w:proofErr w:type="spellEnd"/>
      <w:r>
        <w:t xml:space="preserve"> Ganesh, </w:t>
      </w:r>
      <w:proofErr w:type="spellStart"/>
      <w:r>
        <w:t>Sangepu</w:t>
      </w:r>
      <w:proofErr w:type="spellEnd"/>
      <w:r>
        <w:t xml:space="preserve"> Varun Kumar, </w:t>
      </w:r>
      <w:proofErr w:type="spellStart"/>
      <w:r>
        <w:t>Kannuri</w:t>
      </w:r>
      <w:proofErr w:type="spellEnd"/>
      <w:r>
        <w:t xml:space="preserve"> </w:t>
      </w:r>
      <w:proofErr w:type="spellStart"/>
      <w:r>
        <w:t>Suhas</w:t>
      </w:r>
      <w:proofErr w:type="spellEnd"/>
      <w:r>
        <w:t xml:space="preserve"> and </w:t>
      </w:r>
      <w:proofErr w:type="spellStart"/>
      <w:r>
        <w:t>Sasmitha</w:t>
      </w:r>
      <w:proofErr w:type="spellEnd"/>
      <w:r>
        <w:t xml:space="preserve"> </w:t>
      </w:r>
      <w:proofErr w:type="spellStart"/>
      <w:r>
        <w:t>Mallick</w:t>
      </w:r>
      <w:proofErr w:type="spellEnd"/>
      <w:r>
        <w:t xml:space="preserve">, “Natural Language Processing (NLP) for Automated Legal Document Analysis,” International Journal of Information Technology and Computer Engineering, vol. 13, no. 2, pp. 842–846, 2025. </w:t>
      </w:r>
      <w:proofErr w:type="gramStart"/>
      <w:r>
        <w:t>:</w:t>
      </w:r>
      <w:proofErr w:type="spellStart"/>
      <w:r>
        <w:t>contentReference</w:t>
      </w:r>
      <w:proofErr w:type="spellEnd"/>
      <w:proofErr w:type="gramEnd"/>
      <w:r>
        <w:t>[oaicite:3]{index=3}</w:t>
      </w:r>
    </w:p>
    <w:p w:rsidR="000268CA" w:rsidRDefault="000268CA" w:rsidP="000268CA"/>
    <w:p w:rsidR="000268CA" w:rsidRDefault="000268CA" w:rsidP="000268CA">
      <w:r>
        <w:t xml:space="preserve">[6] J. </w:t>
      </w:r>
      <w:proofErr w:type="spellStart"/>
      <w:r>
        <w:t>Savelka</w:t>
      </w:r>
      <w:proofErr w:type="spellEnd"/>
      <w:r>
        <w:t xml:space="preserve">, “Unlocking Practical Applications in Legal Domain: Evaluation of GPT for Zero-Shot Semantic Annotation of Legal Texts,” </w:t>
      </w:r>
      <w:proofErr w:type="spellStart"/>
      <w:r>
        <w:t>arXiv</w:t>
      </w:r>
      <w:proofErr w:type="spellEnd"/>
      <w:r>
        <w:t xml:space="preserve"> preprint, May 2023. </w:t>
      </w:r>
      <w:proofErr w:type="gramStart"/>
      <w:r>
        <w:t>:</w:t>
      </w:r>
      <w:proofErr w:type="spellStart"/>
      <w:r>
        <w:t>contentReference</w:t>
      </w:r>
      <w:proofErr w:type="spellEnd"/>
      <w:proofErr w:type="gramEnd"/>
      <w:r>
        <w:t>[oaicite:4]{index=4}</w:t>
      </w:r>
    </w:p>
    <w:p w:rsidR="000268CA" w:rsidRDefault="000268CA" w:rsidP="000268CA"/>
    <w:p w:rsidR="000268CA" w:rsidRDefault="000268CA" w:rsidP="000268CA">
      <w:r>
        <w:t xml:space="preserve">[7] “Legal lay summarization: exploring methods and data generation with large language models,” Artificial Intelligence Review, vol. 59, article 21, 2026. </w:t>
      </w:r>
      <w:proofErr w:type="gramStart"/>
      <w:r>
        <w:t>:</w:t>
      </w:r>
      <w:proofErr w:type="spellStart"/>
      <w:r>
        <w:t>contentReference</w:t>
      </w:r>
      <w:proofErr w:type="spellEnd"/>
      <w:proofErr w:type="gramEnd"/>
      <w:r>
        <w:t>[oaicite:5]{index=5}</w:t>
      </w:r>
    </w:p>
    <w:p w:rsidR="000268CA" w:rsidRDefault="000268CA" w:rsidP="000268CA"/>
    <w:p w:rsidR="000268CA" w:rsidRDefault="000268CA" w:rsidP="000268CA">
      <w:r>
        <w:t xml:space="preserve">[8] “Effective deep learning approaches for summarization of legal texts,” Journal of King Saud University – Computer and Information Sciences, vol. 34, no. 5, pp. 2141–2150, 2022. </w:t>
      </w:r>
      <w:proofErr w:type="gramStart"/>
      <w:r>
        <w:t>:</w:t>
      </w:r>
      <w:proofErr w:type="spellStart"/>
      <w:r>
        <w:t>contentReference</w:t>
      </w:r>
      <w:proofErr w:type="spellEnd"/>
      <w:proofErr w:type="gramEnd"/>
      <w:r>
        <w:t>[oaicite:6]{index=6}</w:t>
      </w:r>
    </w:p>
    <w:p w:rsidR="000268CA" w:rsidRDefault="000268CA" w:rsidP="000268CA"/>
    <w:p w:rsidR="000268CA" w:rsidRDefault="000268CA" w:rsidP="000268CA">
      <w:r>
        <w:t xml:space="preserve">[9] “Effectiveness in retrieving legal precedents: exploring text summarization and cutting-edge language models toward a cost-efficient approach,” Artificial Intelligence and Law, 2025. </w:t>
      </w:r>
      <w:proofErr w:type="gramStart"/>
      <w:r>
        <w:t>:</w:t>
      </w:r>
      <w:proofErr w:type="spellStart"/>
      <w:r>
        <w:t>contentReference</w:t>
      </w:r>
      <w:proofErr w:type="spellEnd"/>
      <w:proofErr w:type="gramEnd"/>
      <w:r>
        <w:t>[oaicite:7]{index=7}</w:t>
      </w:r>
    </w:p>
    <w:p w:rsidR="000268CA" w:rsidRDefault="000268CA" w:rsidP="000268CA"/>
    <w:p w:rsidR="000268CA" w:rsidRDefault="000268CA" w:rsidP="000268CA">
      <w:r>
        <w:t xml:space="preserve">[10] “A comparative study of automated legal text classification using random forests and deep learning,” Information Processing &amp; Management, vol. 59, no. 2, 2022, Art. no. 102798. </w:t>
      </w:r>
      <w:proofErr w:type="gramStart"/>
      <w:r>
        <w:t>:</w:t>
      </w:r>
      <w:proofErr w:type="spellStart"/>
      <w:r>
        <w:t>contentReference</w:t>
      </w:r>
      <w:proofErr w:type="spellEnd"/>
      <w:proofErr w:type="gramEnd"/>
      <w:r>
        <w:t>[oaicite:8]{index=8}</w:t>
      </w:r>
    </w:p>
    <w:p w:rsidR="000268CA" w:rsidRDefault="000268CA" w:rsidP="000268CA"/>
    <w:p w:rsidR="000268CA" w:rsidRDefault="000268CA" w:rsidP="000268CA">
      <w:r>
        <w:t xml:space="preserve">[11] I. </w:t>
      </w:r>
      <w:proofErr w:type="spellStart"/>
      <w:r>
        <w:t>Chalkidis</w:t>
      </w:r>
      <w:proofErr w:type="spellEnd"/>
      <w:r>
        <w:t xml:space="preserve"> and D. </w:t>
      </w:r>
      <w:proofErr w:type="spellStart"/>
      <w:r>
        <w:t>Kampas</w:t>
      </w:r>
      <w:proofErr w:type="spellEnd"/>
      <w:r>
        <w:t xml:space="preserve">, “Deep learning in law: early adaptation and legal word </w:t>
      </w:r>
      <w:proofErr w:type="spellStart"/>
      <w:r>
        <w:t>embeddings</w:t>
      </w:r>
      <w:proofErr w:type="spellEnd"/>
      <w:r>
        <w:t xml:space="preserve"> trained on large corpora,” Artificial Intelligence and Law, vol. 27, no. 2, pp. 171–198, 2019. (cited in </w:t>
      </w:r>
      <w:proofErr w:type="spellStart"/>
      <w:r>
        <w:t>Tagarelli</w:t>
      </w:r>
      <w:proofErr w:type="spellEnd"/>
      <w:r>
        <w:t xml:space="preserve"> &amp; </w:t>
      </w:r>
      <w:proofErr w:type="spellStart"/>
      <w:r>
        <w:t>Simeri</w:t>
      </w:r>
      <w:proofErr w:type="spellEnd"/>
      <w:r>
        <w:t xml:space="preserve"> 2021</w:t>
      </w:r>
      <w:proofErr w:type="gramStart"/>
      <w:r>
        <w:t>) :</w:t>
      </w:r>
      <w:proofErr w:type="spellStart"/>
      <w:r>
        <w:t>contentReference</w:t>
      </w:r>
      <w:proofErr w:type="spellEnd"/>
      <w:proofErr w:type="gramEnd"/>
      <w:r>
        <w:t>[oaicite:9]{index=9}</w:t>
      </w:r>
    </w:p>
    <w:p w:rsidR="000268CA" w:rsidRDefault="000268CA" w:rsidP="000268CA"/>
    <w:p w:rsidR="000268CA" w:rsidRDefault="000268CA" w:rsidP="000268CA">
      <w:r>
        <w:t xml:space="preserve">[12] I. </w:t>
      </w:r>
      <w:proofErr w:type="spellStart"/>
      <w:r>
        <w:t>Chalkidis</w:t>
      </w:r>
      <w:proofErr w:type="spellEnd"/>
      <w:r>
        <w:t xml:space="preserve">, A. </w:t>
      </w:r>
      <w:proofErr w:type="spellStart"/>
      <w:r>
        <w:t>Androutsopoulos</w:t>
      </w:r>
      <w:proofErr w:type="spellEnd"/>
      <w:r>
        <w:t xml:space="preserve"> and A. </w:t>
      </w:r>
      <w:proofErr w:type="spellStart"/>
      <w:r>
        <w:t>Michos</w:t>
      </w:r>
      <w:proofErr w:type="spellEnd"/>
      <w:r>
        <w:t>, “Obligation and prohibition extraction using hierarchical RNNs,” in Proc. of ACL, 2018, pp. 254–259. (cited in legal-NLP surveys</w:t>
      </w:r>
      <w:proofErr w:type="gramStart"/>
      <w:r>
        <w:t>) :</w:t>
      </w:r>
      <w:proofErr w:type="spellStart"/>
      <w:r>
        <w:t>contentReference</w:t>
      </w:r>
      <w:proofErr w:type="spellEnd"/>
      <w:proofErr w:type="gramEnd"/>
      <w:r>
        <w:t>[oaicite:10]{index=10}</w:t>
      </w:r>
    </w:p>
    <w:p w:rsidR="000268CA" w:rsidRDefault="000268CA" w:rsidP="000268CA"/>
    <w:p w:rsidR="000268CA" w:rsidRDefault="000268CA" w:rsidP="000268CA">
      <w:r>
        <w:t xml:space="preserve">[13] L. Hu, X. Li, C. </w:t>
      </w:r>
      <w:proofErr w:type="spellStart"/>
      <w:r>
        <w:t>Tu</w:t>
      </w:r>
      <w:proofErr w:type="spellEnd"/>
      <w:r>
        <w:t xml:space="preserve">, Z. Liu and M. Sun, “Few-shot charge prediction with discriminative legal attributes,” in Proc. of COLING, 2018. (as discussed in </w:t>
      </w:r>
      <w:proofErr w:type="spellStart"/>
      <w:r>
        <w:t>Tagarelli</w:t>
      </w:r>
      <w:proofErr w:type="spellEnd"/>
      <w:r>
        <w:t xml:space="preserve"> &amp; </w:t>
      </w:r>
      <w:proofErr w:type="spellStart"/>
      <w:r>
        <w:t>Simeri</w:t>
      </w:r>
      <w:proofErr w:type="spellEnd"/>
      <w:r>
        <w:t xml:space="preserve"> 2021</w:t>
      </w:r>
      <w:proofErr w:type="gramStart"/>
      <w:r>
        <w:t>) :</w:t>
      </w:r>
      <w:proofErr w:type="spellStart"/>
      <w:r>
        <w:t>contentReference</w:t>
      </w:r>
      <w:proofErr w:type="spellEnd"/>
      <w:proofErr w:type="gramEnd"/>
      <w:r>
        <w:t>[oaicite:11]{index=11}</w:t>
      </w:r>
    </w:p>
    <w:p w:rsidR="000268CA" w:rsidRDefault="000268CA" w:rsidP="000268CA"/>
    <w:p w:rsidR="000268CA" w:rsidRDefault="000268CA" w:rsidP="000268CA">
      <w:r>
        <w:lastRenderedPageBreak/>
        <w:t xml:space="preserve">[14] S. Li, H. Zhang, L. Ye, X. </w:t>
      </w:r>
      <w:proofErr w:type="spellStart"/>
      <w:r>
        <w:t>Guo</w:t>
      </w:r>
      <w:proofErr w:type="spellEnd"/>
      <w:r>
        <w:t xml:space="preserve"> and B. Fang, “MANN: a multichannel attentive neural network for legal judgment prediction,” IEEE Access, vol. 7, pp. 151144–151155, 2019. (as referenced in legal-AI literature</w:t>
      </w:r>
      <w:proofErr w:type="gramStart"/>
      <w:r>
        <w:t>) :</w:t>
      </w:r>
      <w:proofErr w:type="spellStart"/>
      <w:r>
        <w:t>contentReference</w:t>
      </w:r>
      <w:proofErr w:type="spellEnd"/>
      <w:proofErr w:type="gramEnd"/>
      <w:r>
        <w:t>[oaicite:12]{index=12}</w:t>
      </w:r>
    </w:p>
    <w:p w:rsidR="000268CA" w:rsidRDefault="000268CA" w:rsidP="000268CA"/>
    <w:p w:rsidR="000268CA" w:rsidRDefault="000268CA" w:rsidP="000268CA">
      <w:r>
        <w:t xml:space="preserve">[15] “Natural Language Processing for Legal Document Analysis: Opportunities and Challenges,” Research-Gate Journal, vol. 9, no. 9, 2023. </w:t>
      </w:r>
      <w:proofErr w:type="gramStart"/>
      <w:r>
        <w:t>:</w:t>
      </w:r>
      <w:proofErr w:type="spellStart"/>
      <w:r>
        <w:t>contentReference</w:t>
      </w:r>
      <w:proofErr w:type="spellEnd"/>
      <w:proofErr w:type="gramEnd"/>
      <w:r>
        <w:t>[oaicite:13]{index=13}</w:t>
      </w:r>
    </w:p>
    <w:p w:rsidR="000268CA" w:rsidRDefault="000268CA" w:rsidP="000268CA"/>
    <w:p w:rsidR="000268CA" w:rsidRDefault="000268CA" w:rsidP="000268CA">
      <w:r>
        <w:t>[16] “Natural Language Processing for the Legal Domain: A Survey of Tasks, Datasets, Models, and Challenges,” 2024. (If published, include journal/volume/pages) — use as general background.</w:t>
      </w:r>
    </w:p>
    <w:p w:rsidR="000268CA" w:rsidRDefault="000268CA" w:rsidP="000268CA"/>
    <w:p w:rsidR="000268CA" w:rsidRDefault="000268CA" w:rsidP="000268CA">
      <w:r>
        <w:t>[17] “</w:t>
      </w:r>
      <w:proofErr w:type="spellStart"/>
      <w:r>
        <w:t>LegalPro</w:t>
      </w:r>
      <w:proofErr w:type="spellEnd"/>
      <w:r>
        <w:t>-BERT: Classification of Legal Provisions by Fine-Tuning BERT Large Language Model,” IJIRSET, vol. 14, no. 5, 2025. (as listed in 2025 conference/journal</w:t>
      </w:r>
      <w:proofErr w:type="gramStart"/>
      <w:r>
        <w:t>) :</w:t>
      </w:r>
      <w:proofErr w:type="spellStart"/>
      <w:r>
        <w:t>contentReference</w:t>
      </w:r>
      <w:proofErr w:type="spellEnd"/>
      <w:proofErr w:type="gramEnd"/>
      <w:r>
        <w:t>[oaicite:14]{index=14}</w:t>
      </w:r>
    </w:p>
    <w:p w:rsidR="000268CA" w:rsidRDefault="000268CA" w:rsidP="000268CA"/>
    <w:p w:rsidR="000268CA" w:rsidRDefault="000268CA" w:rsidP="000268CA">
      <w:r>
        <w:t>[18] “AI-based legal document review and clause extraction systems” — use as broader reference for contract review NLP systems. (Locate proper journal if available.)</w:t>
      </w:r>
    </w:p>
    <w:p w:rsidR="000268CA" w:rsidRDefault="000268CA" w:rsidP="000268CA"/>
    <w:p w:rsidR="000268CA" w:rsidRDefault="000268CA" w:rsidP="000268CA">
      <w:r>
        <w:t>[19] “Automated legal document classification using hybrid deep learning models” — to support comparison with your work. (Locate actual source if published.)</w:t>
      </w:r>
    </w:p>
    <w:p w:rsidR="000268CA" w:rsidRDefault="000268CA" w:rsidP="000268CA"/>
    <w:p w:rsidR="000268CA" w:rsidRDefault="000268CA" w:rsidP="000268CA">
      <w:r>
        <w:t>[20] “AI in Legal Practice: Trends, Challenges and Future Directions,” 2024. (Use as context/background for AI-law overview.)</w:t>
      </w:r>
    </w:p>
    <w:p w:rsidR="00971E3C" w:rsidRDefault="00971E3C"/>
    <w:sectPr w:rsidR="00971E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8CA"/>
    <w:rsid w:val="000268CA"/>
    <w:rsid w:val="008F2601"/>
    <w:rsid w:val="00971E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B4CB7"/>
  <w15:chartTrackingRefBased/>
  <w15:docId w15:val="{B50BBCA7-009A-4D7F-8A48-05305C287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268CA"/>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268CA"/>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0268CA"/>
    <w:rPr>
      <w:b/>
      <w:bCs/>
    </w:rPr>
  </w:style>
  <w:style w:type="paragraph" w:styleId="NormalWeb">
    <w:name w:val="Normal (Web)"/>
    <w:basedOn w:val="Normal"/>
    <w:uiPriority w:val="99"/>
    <w:semiHidden/>
    <w:unhideWhenUsed/>
    <w:rsid w:val="000268C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0268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9994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1037</TotalTime>
  <Pages>3</Pages>
  <Words>909</Words>
  <Characters>5186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WARA.</dc:creator>
  <cp:keywords/>
  <dc:description/>
  <cp:lastModifiedBy>WARA.</cp:lastModifiedBy>
  <cp:revision>1</cp:revision>
  <dcterms:created xsi:type="dcterms:W3CDTF">2025-12-08T14:13:00Z</dcterms:created>
  <dcterms:modified xsi:type="dcterms:W3CDTF">2025-12-09T07:30:00Z</dcterms:modified>
</cp:coreProperties>
</file>