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C93" w:rsidRDefault="00574DAF" w:rsidP="00574DAF">
      <w:pPr>
        <w:pStyle w:val="Nadpis1"/>
      </w:pPr>
      <w:r>
        <w:t>Analyzátor výrazů</w:t>
      </w:r>
    </w:p>
    <w:p w:rsidR="0080615E" w:rsidRDefault="0080615E" w:rsidP="00574DAF">
      <w:r>
        <w:t>Analyzátor výrazů (AV) je volán analyzátorem programu (AP), pokud je v zápisu programu očekáván výraz. AV tedy přebírá řízení překladu od AP a vrací mu jej až po úspěšném zpracování celého výrazu.</w:t>
      </w:r>
      <w:r w:rsidR="00574DAF">
        <w:t xml:space="preserve"> </w:t>
      </w:r>
      <w:r>
        <w:t xml:space="preserve">AV </w:t>
      </w:r>
      <w:r w:rsidR="00574DAF">
        <w:t>kontroluje správnost zápisu výrazu pomocí precedenční syntaktické analýzy, jíž simuluje tvorbu derivačního stromu. Dále je během analýzy výrazu kontrolováno, zda není sémanticky špatně – špatná kombinace datových typů operandů, použití nedeklarovaného identifikátoru a použití funkce jako proměnné. Během činnosti jsou samozřejmě také generovány příslušné instrukce</w:t>
      </w:r>
      <w:r w:rsidR="00944A03">
        <w:t xml:space="preserve"> odpovídající operacím provedeným ve výraze</w:t>
      </w:r>
      <w:r w:rsidR="00574DAF">
        <w:t>.</w:t>
      </w:r>
    </w:p>
    <w:p w:rsidR="00574DAF" w:rsidRDefault="00574DAF" w:rsidP="00574DAF">
      <w:r>
        <w:t xml:space="preserve">Při předání řízení </w:t>
      </w:r>
      <w:r w:rsidR="0080615E">
        <w:t>překladu programu</w:t>
      </w:r>
      <w:r>
        <w:t xml:space="preserve"> </w:t>
      </w:r>
      <w:r w:rsidR="0080615E">
        <w:t xml:space="preserve">AV je mu předána také informace o výsledném datovém typu. V takovém případě AV zajistí i přetypování výsledku instrukce do správného datového typu. Předaný datový typ může být také speciální hodnota </w:t>
      </w:r>
      <w:r w:rsidR="0080615E" w:rsidRPr="0080615E">
        <w:rPr>
          <w:rStyle w:val="KdChar"/>
        </w:rPr>
        <w:t>NO_DATATYPE</w:t>
      </w:r>
      <w:r w:rsidR="0080615E">
        <w:t xml:space="preserve">. Toto použití AV slouží např. pro determinování datového typu proměnné </w:t>
      </w:r>
      <w:r w:rsidR="0080615E" w:rsidRPr="0080615E">
        <w:rPr>
          <w:rStyle w:val="KdChar"/>
        </w:rPr>
        <w:t>auto</w:t>
      </w:r>
      <w:r w:rsidR="0080615E">
        <w:t>.</w:t>
      </w:r>
    </w:p>
    <w:p w:rsidR="004C2AB9" w:rsidRDefault="004C2AB9" w:rsidP="00574DAF">
      <w:r>
        <w:t xml:space="preserve">Při zpracování příchozího lexému jsou převedeny všechny možné operandy (literály i proměnné) na terminál </w:t>
      </w:r>
      <w:r w:rsidRPr="004C2AB9">
        <w:rPr>
          <w:rStyle w:val="KdChar"/>
        </w:rPr>
        <w:t>i</w:t>
      </w:r>
      <w:r>
        <w:t xml:space="preserve">, avšak je zachován příznak, zda se jedná o proměnnou, nebo literál. Lexémy, které nemůžou být ani operátorem ani operandem jsou převedeny na ukončující terminál </w:t>
      </w:r>
      <w:r>
        <w:rPr>
          <w:rStyle w:val="KdChar"/>
        </w:rPr>
        <w:t>$</w:t>
      </w:r>
      <w:r w:rsidR="009F4444">
        <w:t>. Chyba vrácená lexikální analýzou je propagována zpět k AP. Problémem je zde ukončující závorka ‚)‘, která může být jak součást výrazu, tak ukončující terminál,</w:t>
      </w:r>
      <w:r w:rsidR="004724A2">
        <w:t xml:space="preserve"> proto si AV při načítání lexémů jednoduchých závorek</w:t>
      </w:r>
      <w:r w:rsidR="009F4444">
        <w:t xml:space="preserve"> ukládá </w:t>
      </w:r>
      <w:r w:rsidR="009F4444" w:rsidRPr="004724A2">
        <w:rPr>
          <w:rStyle w:val="Zdraznn"/>
        </w:rPr>
        <w:t xml:space="preserve">aktuální hodnotu zanoření </w:t>
      </w:r>
      <w:r w:rsidR="009F4444">
        <w:t>a podle toho považuje</w:t>
      </w:r>
      <w:r w:rsidR="004724A2">
        <w:t xml:space="preserve"> ukončující</w:t>
      </w:r>
      <w:r w:rsidR="009F4444">
        <w:t xml:space="preserve"> závorku buď za operátor, nebo za </w:t>
      </w:r>
      <w:r w:rsidR="009F4444">
        <w:rPr>
          <w:rStyle w:val="KdChar"/>
        </w:rPr>
        <w:t>$</w:t>
      </w:r>
      <w:r w:rsidR="009F4444">
        <w:t>.</w:t>
      </w:r>
      <w:r w:rsidR="001D2836">
        <w:t xml:space="preserve"> Návratovou hodnotou AV je lexém, jenž je ukončujícím.</w:t>
      </w:r>
    </w:p>
    <w:p w:rsidR="007C6CE6" w:rsidRDefault="00552124" w:rsidP="00574DAF">
      <w:r>
        <w:t>Precedenční analýza je tvořena precedenční tabulkou v. příloha – tabulka pro precedenční analýzu fungující nad jednoduchým zásobníkem, jehož položka je buď terminál, nebo neterminál a v obou případech sebou nese informaci o datovém typu, jelikož neterminál se v průběhu analýzy stává operandem. Neterminál jakožto operand může být proměnná, konstanta, nebo mezivýsledek, což je pouze dočasná, abstraktní proměnná použitá během vyhodnocování výrazu. V případě proměnné</w:t>
      </w:r>
      <w:r w:rsidR="00F7753E">
        <w:t xml:space="preserve"> (i dočasné)</w:t>
      </w:r>
      <w:r>
        <w:t xml:space="preserve"> si sebou nese i informaci </w:t>
      </w:r>
      <w:r w:rsidR="00F7753E">
        <w:t>o jejím indexu, v případě konstanty onu hodnotu.</w:t>
      </w:r>
    </w:p>
    <w:p w:rsidR="00552124" w:rsidRDefault="00552124" w:rsidP="00574DAF">
      <w:r>
        <w:t xml:space="preserve">Operace mezi dvěma konstantami je </w:t>
      </w:r>
      <w:r w:rsidR="00F7753E">
        <w:t xml:space="preserve">pak </w:t>
      </w:r>
      <w:r>
        <w:t>zderivována</w:t>
      </w:r>
      <w:r w:rsidR="00F7753E">
        <w:t xml:space="preserve"> opět</w:t>
      </w:r>
      <w:r>
        <w:t xml:space="preserve"> na neterminál </w:t>
      </w:r>
      <w:r w:rsidR="00F7753E">
        <w:t xml:space="preserve">typu konstanta. Dá se na to pohlížet jako na optimalizaci, nicméně je to nutné z hlediska instrukční sady. Výraz </w:t>
      </w:r>
      <w:r w:rsidR="00F7753E" w:rsidRPr="00F7753E">
        <w:rPr>
          <w:rStyle w:val="KdChar"/>
        </w:rPr>
        <w:t xml:space="preserve">a = </w:t>
      </w:r>
      <w:r w:rsidR="00F7753E">
        <w:rPr>
          <w:rStyle w:val="KdChar"/>
        </w:rPr>
        <w:t>1 + 1</w:t>
      </w:r>
      <w:r w:rsidR="00F7753E" w:rsidRPr="00F7753E">
        <w:rPr>
          <w:rStyle w:val="KdChar"/>
        </w:rPr>
        <w:t>;</w:t>
      </w:r>
      <w:r w:rsidR="00F7753E">
        <w:t xml:space="preserve"> tedy vygeneruje jedinou instrukci, která uloží do proměnné a hodnotu 2, výraz </w:t>
      </w:r>
      <w:r w:rsidR="00F7753E" w:rsidRPr="00F7753E">
        <w:rPr>
          <w:rStyle w:val="KdChar"/>
        </w:rPr>
        <w:t>a = 1 + 1 + a;</w:t>
      </w:r>
      <w:r w:rsidR="00F7753E">
        <w:t xml:space="preserve"> pak pouze jedinou instrukci sečtení (2 + a, resp. a + 2), nicméně výraz </w:t>
      </w:r>
      <w:r w:rsidR="00F7753E">
        <w:rPr>
          <w:rStyle w:val="KdChar"/>
        </w:rPr>
        <w:t>a = a + 1 + 1</w:t>
      </w:r>
      <w:r w:rsidR="00F7753E" w:rsidRPr="00F7753E">
        <w:rPr>
          <w:rStyle w:val="KdChar"/>
        </w:rPr>
        <w:t>;</w:t>
      </w:r>
      <w:r w:rsidR="00F7753E" w:rsidRPr="00F7753E">
        <w:t xml:space="preserve"> </w:t>
      </w:r>
      <w:r w:rsidR="00F7753E">
        <w:t>z povahy zásobníkového řešení vygeneruje 2 instrukce, nikoliv jednu ((a + 1) + 1).</w:t>
      </w:r>
    </w:p>
    <w:p w:rsidR="001A55C1" w:rsidRDefault="001A55C1" w:rsidP="00574DAF">
      <w:r>
        <w:t xml:space="preserve">Sémantika operací je implementována v 3 (aritmetické, relační a logické operátory) souborech </w:t>
      </w:r>
      <w:r w:rsidRPr="001A55C1">
        <w:rPr>
          <w:rStyle w:val="KdChar"/>
        </w:rPr>
        <w:t>*.inc.c</w:t>
      </w:r>
      <w:r>
        <w:t xml:space="preserve"> (sloužící jako víceřádkové makro), které jsou parametrizována konkrétním typem operace, jejím bajtkódem, dále tím zda je operace komutativní, jaký má (a </w:t>
      </w:r>
      <w:r w:rsidR="00E43F99">
        <w:t>jestli vůbec</w:t>
      </w:r>
      <w:r>
        <w:t>) neutrální</w:t>
      </w:r>
      <w:r w:rsidR="00E43F99">
        <w:t xml:space="preserve"> a</w:t>
      </w:r>
      <w:r>
        <w:t xml:space="preserve"> agresivní prvek a pro který prvek nemá definované chování (nula v děliteli). Tyto </w:t>
      </w:r>
      <w:r w:rsidR="00E43F99">
        <w:t>parametry</w:t>
      </w:r>
      <w:r>
        <w:t xml:space="preserve"> slouží k dalším optimalizacím.</w:t>
      </w:r>
      <w:r w:rsidR="00E43F99">
        <w:t xml:space="preserve"> Výraz </w:t>
      </w:r>
      <w:r w:rsidR="00E43F99" w:rsidRPr="00F7753E">
        <w:rPr>
          <w:rStyle w:val="KdChar"/>
        </w:rPr>
        <w:t xml:space="preserve">a = </w:t>
      </w:r>
      <w:r w:rsidR="00E43F99">
        <w:rPr>
          <w:rStyle w:val="KdChar"/>
        </w:rPr>
        <w:t>a * 1</w:t>
      </w:r>
      <w:r w:rsidR="00E43F99" w:rsidRPr="00F7753E">
        <w:rPr>
          <w:rStyle w:val="KdChar"/>
        </w:rPr>
        <w:t>;</w:t>
      </w:r>
      <w:r w:rsidR="00E43F99" w:rsidRPr="00E43F99">
        <w:t xml:space="preserve"> </w:t>
      </w:r>
      <w:r w:rsidR="00E43F99">
        <w:t xml:space="preserve">tak vede na přiřazení hodnoty 1. Při dělení konstantou nulou pak nedochází ke generování instrukce </w:t>
      </w:r>
      <w:r w:rsidR="00E43F99" w:rsidRPr="00E43F99">
        <w:rPr>
          <w:rStyle w:val="KdChar"/>
        </w:rPr>
        <w:t>DIV</w:t>
      </w:r>
      <w:r w:rsidR="00E43F99">
        <w:t xml:space="preserve">, ale instrukce </w:t>
      </w:r>
      <w:r w:rsidR="00E43F99" w:rsidRPr="00E43F99">
        <w:rPr>
          <w:rStyle w:val="KdChar"/>
        </w:rPr>
        <w:t>ERROR</w:t>
      </w:r>
      <w:r w:rsidR="00E43F99">
        <w:t>.</w:t>
      </w:r>
    </w:p>
    <w:p w:rsidR="007C6CE6" w:rsidRDefault="007C6CE6" w:rsidP="00574DAF">
      <w:r>
        <w:t>Výpočet výrazu interpretem simuluje zásobníkové zpracování podobně jako instrukce instrukční sady x87 FPU, nicméně je to výhodné, protože stejným způsobem funguje analýza výrazu. Nevýhodou je nutnost před započnutím výpoč</w:t>
      </w:r>
      <w:r w:rsidR="00AE4A95">
        <w:t>tu první operand načíst do paměťového místa vyhrazeného pro výpočet výrazu první operace na každé úrovni priority (</w:t>
      </w:r>
      <w:r>
        <w:t>dle priorit operátorů)</w:t>
      </w:r>
      <w:r w:rsidR="00AE4A95">
        <w:t xml:space="preserve">, jelikož adresa prvního operandu je zároveň místo, kde se ukládá výsledek operace. Pro výraz </w:t>
      </w:r>
      <w:r w:rsidR="00AE4A95">
        <w:rPr>
          <w:rStyle w:val="KdChar"/>
        </w:rPr>
        <w:t>(a+1)*(b+1)</w:t>
      </w:r>
      <w:r w:rsidR="00AE4A95">
        <w:t xml:space="preserve"> tedy kromě 3 operací proběhnou i 2 načtení do dočasných proměnných. Pro výraz </w:t>
      </w:r>
      <w:r w:rsidR="00AE4A95" w:rsidRPr="00AE4A95">
        <w:rPr>
          <w:rStyle w:val="KdChar"/>
        </w:rPr>
        <w:t>a+b+c+d</w:t>
      </w:r>
      <w:r w:rsidR="00AE4A95">
        <w:t xml:space="preserve"> by také proběhly 3 operace, avšak pouze jedno načtení.</w:t>
      </w:r>
    </w:p>
    <w:tbl>
      <w:tblPr>
        <w:tblStyle w:val="Mkatabulky"/>
        <w:tblpPr w:leftFromText="141" w:rightFromText="141" w:vertAnchor="text" w:horzAnchor="margin" w:tblpXSpec="right" w:tblpY="99"/>
        <w:tblW w:w="4017" w:type="dxa"/>
        <w:tblLook w:val="04A0" w:firstRow="1" w:lastRow="0" w:firstColumn="1" w:lastColumn="0" w:noHBand="0" w:noVBand="1"/>
      </w:tblPr>
      <w:tblGrid>
        <w:gridCol w:w="1813"/>
        <w:gridCol w:w="1244"/>
        <w:gridCol w:w="960"/>
      </w:tblGrid>
      <w:tr w:rsidR="00E43F99" w:rsidRPr="0023762A" w:rsidTr="00E43F99">
        <w:trPr>
          <w:cantSplit/>
          <w:trHeight w:val="300"/>
        </w:trPr>
        <w:tc>
          <w:tcPr>
            <w:tcW w:w="1813" w:type="dxa"/>
            <w:shd w:val="clear" w:color="auto" w:fill="9CC2E5" w:themeFill="accent1" w:themeFillTint="99"/>
            <w:noWrap/>
            <w:hideMark/>
          </w:tcPr>
          <w:p w:rsidR="00E43F99" w:rsidRPr="0023762A" w:rsidRDefault="00E43F99" w:rsidP="00E43F99">
            <w:r w:rsidRPr="0023762A">
              <w:lastRenderedPageBreak/>
              <w:t>a</w:t>
            </w:r>
          </w:p>
        </w:tc>
        <w:tc>
          <w:tcPr>
            <w:tcW w:w="1244" w:type="dxa"/>
            <w:shd w:val="clear" w:color="auto" w:fill="D0CECE" w:themeFill="background2" w:themeFillShade="E6"/>
            <w:noWrap/>
            <w:hideMark/>
          </w:tcPr>
          <w:p w:rsidR="00E43F99" w:rsidRPr="0023762A" w:rsidRDefault="00E43F99" w:rsidP="00E43F99"/>
        </w:tc>
        <w:tc>
          <w:tcPr>
            <w:tcW w:w="960" w:type="dxa"/>
            <w:shd w:val="clear" w:color="auto" w:fill="D0CECE" w:themeFill="background2" w:themeFillShade="E6"/>
            <w:noWrap/>
            <w:hideMark/>
          </w:tcPr>
          <w:p w:rsidR="00E43F99" w:rsidRPr="0023762A" w:rsidRDefault="00E43F99" w:rsidP="00E43F99"/>
        </w:tc>
      </w:tr>
      <w:tr w:rsidR="00E43F99" w:rsidRPr="0023762A" w:rsidTr="00E43F99">
        <w:trPr>
          <w:cantSplit/>
          <w:trHeight w:val="300"/>
        </w:trPr>
        <w:tc>
          <w:tcPr>
            <w:tcW w:w="1813" w:type="dxa"/>
            <w:noWrap/>
            <w:hideMark/>
          </w:tcPr>
          <w:p w:rsidR="00E43F99" w:rsidRPr="0023762A" w:rsidRDefault="00E43F99" w:rsidP="00E43F99">
            <w:r w:rsidRPr="0023762A">
              <w:t>a+1</w:t>
            </w:r>
          </w:p>
        </w:tc>
        <w:tc>
          <w:tcPr>
            <w:tcW w:w="1244" w:type="dxa"/>
            <w:shd w:val="clear" w:color="auto" w:fill="D0CECE" w:themeFill="background2" w:themeFillShade="E6"/>
            <w:noWrap/>
            <w:hideMark/>
          </w:tcPr>
          <w:p w:rsidR="00E43F99" w:rsidRPr="0023762A" w:rsidRDefault="00E43F99" w:rsidP="00E43F99"/>
        </w:tc>
        <w:tc>
          <w:tcPr>
            <w:tcW w:w="960" w:type="dxa"/>
            <w:shd w:val="clear" w:color="auto" w:fill="D0CECE" w:themeFill="background2" w:themeFillShade="E6"/>
            <w:noWrap/>
            <w:hideMark/>
          </w:tcPr>
          <w:p w:rsidR="00E43F99" w:rsidRPr="0023762A" w:rsidRDefault="00E43F99" w:rsidP="00E43F99"/>
        </w:tc>
      </w:tr>
      <w:tr w:rsidR="00E43F99" w:rsidRPr="0023762A" w:rsidTr="00E43F99">
        <w:trPr>
          <w:cantSplit/>
          <w:trHeight w:val="300"/>
        </w:trPr>
        <w:tc>
          <w:tcPr>
            <w:tcW w:w="1813" w:type="dxa"/>
            <w:noWrap/>
            <w:hideMark/>
          </w:tcPr>
          <w:p w:rsidR="00E43F99" w:rsidRPr="0023762A" w:rsidRDefault="00E43F99" w:rsidP="00E43F99">
            <w:r w:rsidRPr="0023762A">
              <w:t>a+1</w:t>
            </w:r>
          </w:p>
        </w:tc>
        <w:tc>
          <w:tcPr>
            <w:tcW w:w="1244" w:type="dxa"/>
            <w:shd w:val="clear" w:color="auto" w:fill="9CC2E5" w:themeFill="accent1" w:themeFillTint="99"/>
            <w:noWrap/>
            <w:hideMark/>
          </w:tcPr>
          <w:p w:rsidR="00E43F99" w:rsidRPr="0023762A" w:rsidRDefault="00E43F99" w:rsidP="00E43F99">
            <w:r w:rsidRPr="0023762A">
              <w:t>b</w:t>
            </w:r>
          </w:p>
        </w:tc>
        <w:tc>
          <w:tcPr>
            <w:tcW w:w="960" w:type="dxa"/>
            <w:shd w:val="clear" w:color="auto" w:fill="D0CECE" w:themeFill="background2" w:themeFillShade="E6"/>
            <w:noWrap/>
            <w:hideMark/>
          </w:tcPr>
          <w:p w:rsidR="00E43F99" w:rsidRPr="0023762A" w:rsidRDefault="00E43F99" w:rsidP="00E43F99"/>
        </w:tc>
      </w:tr>
      <w:tr w:rsidR="00E43F99" w:rsidRPr="0023762A" w:rsidTr="00E43F99">
        <w:trPr>
          <w:cantSplit/>
          <w:trHeight w:val="300"/>
        </w:trPr>
        <w:tc>
          <w:tcPr>
            <w:tcW w:w="1813" w:type="dxa"/>
            <w:noWrap/>
            <w:hideMark/>
          </w:tcPr>
          <w:p w:rsidR="00E43F99" w:rsidRPr="0023762A" w:rsidRDefault="00E43F99" w:rsidP="00E43F99">
            <w:r w:rsidRPr="0023762A">
              <w:t>a+1</w:t>
            </w:r>
          </w:p>
        </w:tc>
        <w:tc>
          <w:tcPr>
            <w:tcW w:w="1244" w:type="dxa"/>
            <w:noWrap/>
            <w:hideMark/>
          </w:tcPr>
          <w:p w:rsidR="00E43F99" w:rsidRPr="0023762A" w:rsidRDefault="00E43F99" w:rsidP="00E43F99">
            <w:r w:rsidRPr="0023762A">
              <w:t>b+1</w:t>
            </w:r>
          </w:p>
        </w:tc>
        <w:tc>
          <w:tcPr>
            <w:tcW w:w="960" w:type="dxa"/>
            <w:shd w:val="clear" w:color="auto" w:fill="D0CECE" w:themeFill="background2" w:themeFillShade="E6"/>
            <w:noWrap/>
            <w:hideMark/>
          </w:tcPr>
          <w:p w:rsidR="00E43F99" w:rsidRPr="0023762A" w:rsidRDefault="00E43F99" w:rsidP="00E43F99"/>
        </w:tc>
      </w:tr>
      <w:tr w:rsidR="00E43F99" w:rsidRPr="0023762A" w:rsidTr="00E43F99">
        <w:trPr>
          <w:cantSplit/>
          <w:trHeight w:val="300"/>
        </w:trPr>
        <w:tc>
          <w:tcPr>
            <w:tcW w:w="1813" w:type="dxa"/>
            <w:noWrap/>
          </w:tcPr>
          <w:p w:rsidR="00E43F99" w:rsidRPr="0023762A" w:rsidRDefault="00E43F99" w:rsidP="00E43F99">
            <w:r w:rsidRPr="0023762A">
              <w:t>a+1</w:t>
            </w:r>
          </w:p>
        </w:tc>
        <w:tc>
          <w:tcPr>
            <w:tcW w:w="1244" w:type="dxa"/>
            <w:noWrap/>
          </w:tcPr>
          <w:p w:rsidR="00E43F99" w:rsidRPr="0023762A" w:rsidRDefault="00E43F99" w:rsidP="00E43F99">
            <w:r w:rsidRPr="0023762A">
              <w:t>b+1</w:t>
            </w:r>
          </w:p>
        </w:tc>
        <w:tc>
          <w:tcPr>
            <w:tcW w:w="960" w:type="dxa"/>
            <w:shd w:val="clear" w:color="auto" w:fill="9CC2E5" w:themeFill="accent1" w:themeFillTint="99"/>
            <w:noWrap/>
          </w:tcPr>
          <w:p w:rsidR="00E43F99" w:rsidRPr="0023762A" w:rsidRDefault="00E43F99" w:rsidP="00E43F99">
            <w:r>
              <w:t>c</w:t>
            </w:r>
          </w:p>
        </w:tc>
      </w:tr>
      <w:tr w:rsidR="00E43F99" w:rsidRPr="0023762A" w:rsidTr="00E43F99">
        <w:trPr>
          <w:cantSplit/>
          <w:trHeight w:val="300"/>
        </w:trPr>
        <w:tc>
          <w:tcPr>
            <w:tcW w:w="1813" w:type="dxa"/>
            <w:noWrap/>
            <w:hideMark/>
          </w:tcPr>
          <w:p w:rsidR="00E43F99" w:rsidRPr="0023762A" w:rsidRDefault="00E43F99" w:rsidP="00E43F99">
            <w:r w:rsidRPr="0023762A">
              <w:t>a+1</w:t>
            </w:r>
          </w:p>
        </w:tc>
        <w:tc>
          <w:tcPr>
            <w:tcW w:w="1244" w:type="dxa"/>
            <w:noWrap/>
            <w:hideMark/>
          </w:tcPr>
          <w:p w:rsidR="00E43F99" w:rsidRPr="0023762A" w:rsidRDefault="00E43F99" w:rsidP="00E43F99">
            <w:r w:rsidRPr="0023762A">
              <w:t>b+1</w:t>
            </w:r>
          </w:p>
        </w:tc>
        <w:tc>
          <w:tcPr>
            <w:tcW w:w="960" w:type="dxa"/>
            <w:noWrap/>
            <w:hideMark/>
          </w:tcPr>
          <w:p w:rsidR="00E43F99" w:rsidRPr="0023762A" w:rsidRDefault="00E43F99" w:rsidP="00E43F99">
            <w:r w:rsidRPr="0023762A">
              <w:t>c+1</w:t>
            </w:r>
          </w:p>
        </w:tc>
      </w:tr>
      <w:tr w:rsidR="00E43F99" w:rsidRPr="0023762A" w:rsidTr="00E43F99">
        <w:trPr>
          <w:cantSplit/>
          <w:trHeight w:val="300"/>
        </w:trPr>
        <w:tc>
          <w:tcPr>
            <w:tcW w:w="1813" w:type="dxa"/>
            <w:noWrap/>
            <w:hideMark/>
          </w:tcPr>
          <w:p w:rsidR="00E43F99" w:rsidRPr="0023762A" w:rsidRDefault="00E43F99" w:rsidP="00E43F99">
            <w:r w:rsidRPr="0023762A">
              <w:t>a+1</w:t>
            </w:r>
          </w:p>
        </w:tc>
        <w:tc>
          <w:tcPr>
            <w:tcW w:w="1244" w:type="dxa"/>
            <w:noWrap/>
            <w:hideMark/>
          </w:tcPr>
          <w:p w:rsidR="00E43F99" w:rsidRPr="0023762A" w:rsidRDefault="00E43F99" w:rsidP="00E43F99">
            <w:r w:rsidRPr="0023762A">
              <w:t>(b+1)*(c+1)</w:t>
            </w:r>
          </w:p>
        </w:tc>
        <w:tc>
          <w:tcPr>
            <w:tcW w:w="960" w:type="dxa"/>
            <w:shd w:val="clear" w:color="auto" w:fill="D0CECE" w:themeFill="background2" w:themeFillShade="E6"/>
            <w:noWrap/>
            <w:hideMark/>
          </w:tcPr>
          <w:p w:rsidR="00E43F99" w:rsidRPr="0023762A" w:rsidRDefault="00E43F99" w:rsidP="00E43F99">
            <w:r w:rsidRPr="0023762A">
              <w:t>c+1</w:t>
            </w:r>
          </w:p>
        </w:tc>
      </w:tr>
      <w:tr w:rsidR="00E43F99" w:rsidRPr="0023762A" w:rsidTr="00E43F99">
        <w:trPr>
          <w:cantSplit/>
          <w:trHeight w:val="300"/>
        </w:trPr>
        <w:tc>
          <w:tcPr>
            <w:tcW w:w="1813" w:type="dxa"/>
            <w:shd w:val="clear" w:color="auto" w:fill="A8D08D" w:themeFill="accent6" w:themeFillTint="99"/>
            <w:noWrap/>
            <w:hideMark/>
          </w:tcPr>
          <w:p w:rsidR="00E43F99" w:rsidRPr="0023762A" w:rsidRDefault="00E43F99" w:rsidP="00E43F99">
            <w:r w:rsidRPr="0023762A">
              <w:t>(a+1)*(b+1)*(c+1)</w:t>
            </w:r>
          </w:p>
        </w:tc>
        <w:tc>
          <w:tcPr>
            <w:tcW w:w="1244" w:type="dxa"/>
            <w:shd w:val="clear" w:color="auto" w:fill="D0CECE" w:themeFill="background2" w:themeFillShade="E6"/>
            <w:noWrap/>
            <w:hideMark/>
          </w:tcPr>
          <w:p w:rsidR="00E43F99" w:rsidRPr="0023762A" w:rsidRDefault="00E43F99" w:rsidP="00E43F99">
            <w:r w:rsidRPr="0023762A">
              <w:t>(b+1)*(c+1)</w:t>
            </w:r>
          </w:p>
        </w:tc>
        <w:tc>
          <w:tcPr>
            <w:tcW w:w="960" w:type="dxa"/>
            <w:shd w:val="clear" w:color="auto" w:fill="D0CECE" w:themeFill="background2" w:themeFillShade="E6"/>
            <w:noWrap/>
            <w:hideMark/>
          </w:tcPr>
          <w:p w:rsidR="00E43F99" w:rsidRPr="0023762A" w:rsidRDefault="00E43F99" w:rsidP="00E43F99">
            <w:r w:rsidRPr="0023762A">
              <w:t>c+1</w:t>
            </w:r>
          </w:p>
        </w:tc>
      </w:tr>
    </w:tbl>
    <w:tbl>
      <w:tblPr>
        <w:tblStyle w:val="Mkatabulky"/>
        <w:tblpPr w:leftFromText="141" w:rightFromText="141" w:vertAnchor="text" w:horzAnchor="margin" w:tblpY="1464"/>
        <w:tblOverlap w:val="never"/>
        <w:tblW w:w="0" w:type="auto"/>
        <w:tblLook w:val="04A0" w:firstRow="1" w:lastRow="0" w:firstColumn="1" w:lastColumn="0" w:noHBand="0" w:noVBand="1"/>
      </w:tblPr>
      <w:tblGrid>
        <w:gridCol w:w="975"/>
      </w:tblGrid>
      <w:tr w:rsidR="003D3967" w:rsidRPr="008A51F3" w:rsidTr="003D3967">
        <w:trPr>
          <w:cantSplit/>
          <w:trHeight w:val="300"/>
        </w:trPr>
        <w:tc>
          <w:tcPr>
            <w:tcW w:w="975" w:type="dxa"/>
            <w:shd w:val="clear" w:color="auto" w:fill="9CC2E5" w:themeFill="accent1" w:themeFillTint="99"/>
            <w:noWrap/>
            <w:hideMark/>
          </w:tcPr>
          <w:p w:rsidR="003D3967" w:rsidRPr="008A51F3" w:rsidRDefault="003D3967" w:rsidP="003D3967">
            <w:bookmarkStart w:id="0" w:name="_GoBack"/>
            <w:bookmarkEnd w:id="0"/>
            <w:r w:rsidRPr="008A51F3">
              <w:t>a</w:t>
            </w:r>
          </w:p>
        </w:tc>
      </w:tr>
      <w:tr w:rsidR="003D3967" w:rsidRPr="008A51F3" w:rsidTr="003D3967">
        <w:trPr>
          <w:trHeight w:val="300"/>
        </w:trPr>
        <w:tc>
          <w:tcPr>
            <w:tcW w:w="975" w:type="dxa"/>
            <w:noWrap/>
            <w:hideMark/>
          </w:tcPr>
          <w:p w:rsidR="003D3967" w:rsidRPr="008A51F3" w:rsidRDefault="003D3967" w:rsidP="003D3967">
            <w:r w:rsidRPr="008A51F3">
              <w:t>a+b</w:t>
            </w:r>
          </w:p>
        </w:tc>
      </w:tr>
      <w:tr w:rsidR="003D3967" w:rsidRPr="008A51F3" w:rsidTr="003D3967">
        <w:trPr>
          <w:trHeight w:val="300"/>
        </w:trPr>
        <w:tc>
          <w:tcPr>
            <w:tcW w:w="975" w:type="dxa"/>
            <w:noWrap/>
            <w:hideMark/>
          </w:tcPr>
          <w:p w:rsidR="003D3967" w:rsidRPr="008A51F3" w:rsidRDefault="003D3967" w:rsidP="003D3967">
            <w:r w:rsidRPr="008A51F3">
              <w:t>a+b+c</w:t>
            </w:r>
          </w:p>
        </w:tc>
      </w:tr>
      <w:tr w:rsidR="003D3967" w:rsidRPr="008A51F3" w:rsidTr="003D3967">
        <w:trPr>
          <w:trHeight w:val="300"/>
        </w:trPr>
        <w:tc>
          <w:tcPr>
            <w:tcW w:w="975" w:type="dxa"/>
            <w:shd w:val="clear" w:color="auto" w:fill="A8D08D" w:themeFill="accent6" w:themeFillTint="99"/>
            <w:noWrap/>
            <w:hideMark/>
          </w:tcPr>
          <w:p w:rsidR="003D3967" w:rsidRPr="008A51F3" w:rsidRDefault="003D3967" w:rsidP="003D3967">
            <w:r w:rsidRPr="008A51F3">
              <w:t>a+b+c+d</w:t>
            </w:r>
          </w:p>
        </w:tc>
      </w:tr>
    </w:tbl>
    <w:p w:rsidR="006A7D34" w:rsidRPr="006A7D34" w:rsidRDefault="003D3967" w:rsidP="006A7D34">
      <w:r>
        <w:t xml:space="preserve"> </w:t>
      </w:r>
      <w:r w:rsidR="0023762A">
        <w:t>Tabulky</w:t>
      </w:r>
      <w:r w:rsidR="00B42D5F">
        <w:t xml:space="preserve"> ilustrují</w:t>
      </w:r>
      <w:r w:rsidR="0023762A">
        <w:t xml:space="preserve"> průběh výpočtu v jednotlivých krocích pro 2 </w:t>
      </w:r>
      <w:r w:rsidR="00B42D5F">
        <w:t xml:space="preserve">různé </w:t>
      </w:r>
      <w:r w:rsidR="0023762A">
        <w:t>výrazy. Jeden řádek</w:t>
      </w:r>
      <w:r w:rsidR="00B42D5F">
        <w:t xml:space="preserve"> v tabulce</w:t>
      </w:r>
      <w:r w:rsidR="0023762A">
        <w:t xml:space="preserve"> je jeden krok a jeden sloupec </w:t>
      </w:r>
      <w:r w:rsidR="00B42D5F">
        <w:t xml:space="preserve">jedna položka simulovaného zásobníku, tedy jedna dočasná proměnná. </w:t>
      </w:r>
      <w:r w:rsidR="00B42D5F" w:rsidRPr="00B42D5F">
        <w:rPr>
          <w:color w:val="1F4E79" w:themeColor="accent1" w:themeShade="80"/>
        </w:rPr>
        <w:t xml:space="preserve">Modrá </w:t>
      </w:r>
      <w:r w:rsidR="00B42D5F">
        <w:t xml:space="preserve">značí naplnění dočasné proměnné instrukcí </w:t>
      </w:r>
      <w:r w:rsidR="00B42D5F" w:rsidRPr="00B42D5F">
        <w:rPr>
          <w:rStyle w:val="KdChar"/>
        </w:rPr>
        <w:t>LOAD</w:t>
      </w:r>
      <w:r w:rsidR="00B42D5F">
        <w:t xml:space="preserve">, </w:t>
      </w:r>
      <w:r w:rsidR="00B42D5F" w:rsidRPr="00B42D5F">
        <w:rPr>
          <w:color w:val="404040" w:themeColor="text1" w:themeTint="BF"/>
        </w:rPr>
        <w:t>šedá</w:t>
      </w:r>
      <w:r w:rsidR="00B42D5F">
        <w:t xml:space="preserve"> nevyužité místo a </w:t>
      </w:r>
      <w:r w:rsidR="00974E3F">
        <w:rPr>
          <w:color w:val="385623" w:themeColor="accent6" w:themeShade="80"/>
        </w:rPr>
        <w:t>oranžová</w:t>
      </w:r>
      <w:r w:rsidR="00B42D5F" w:rsidRPr="00B42D5F">
        <w:rPr>
          <w:color w:val="385623" w:themeColor="accent6" w:themeShade="80"/>
        </w:rPr>
        <w:t xml:space="preserve"> </w:t>
      </w:r>
      <w:r w:rsidR="00B42D5F">
        <w:t>výsledek, který je po dokončení výpočtu vždy na vrcholu zásobníku. Velikost zásobníku pro daný výraz je zjištěna během analýzy, při běhu tudíž tento imaginární zásobník představuje pouze vyhrazená část paměti výpočet jednoho konkrétního výrazu</w:t>
      </w:r>
      <w:r w:rsidR="002B621C">
        <w:t xml:space="preserve"> v</w:t>
      </w:r>
      <w:r w:rsidR="00761190">
        <w:t> </w:t>
      </w:r>
      <w:r w:rsidR="002B621C">
        <w:t>rámci</w:t>
      </w:r>
      <w:r w:rsidR="00761190">
        <w:t xml:space="preserve"> pro lokální proměnné prováděné funkce</w:t>
      </w:r>
      <w:r w:rsidR="00B42D5F">
        <w:t>.</w:t>
      </w:r>
    </w:p>
    <w:sectPr w:rsidR="006A7D34" w:rsidRPr="006A7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627" w:rsidRDefault="00096627" w:rsidP="0095154D">
      <w:pPr>
        <w:spacing w:after="0" w:line="240" w:lineRule="auto"/>
      </w:pPr>
      <w:r>
        <w:separator/>
      </w:r>
    </w:p>
  </w:endnote>
  <w:endnote w:type="continuationSeparator" w:id="0">
    <w:p w:rsidR="00096627" w:rsidRDefault="00096627" w:rsidP="0095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627" w:rsidRDefault="00096627" w:rsidP="0095154D">
      <w:pPr>
        <w:spacing w:after="0" w:line="240" w:lineRule="auto"/>
      </w:pPr>
      <w:r>
        <w:separator/>
      </w:r>
    </w:p>
  </w:footnote>
  <w:footnote w:type="continuationSeparator" w:id="0">
    <w:p w:rsidR="00096627" w:rsidRDefault="00096627" w:rsidP="009515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15E16"/>
    <w:multiLevelType w:val="hybridMultilevel"/>
    <w:tmpl w:val="5FB284F0"/>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208"/>
    <w:rsid w:val="00096627"/>
    <w:rsid w:val="000E5F75"/>
    <w:rsid w:val="001A55C1"/>
    <w:rsid w:val="001D2836"/>
    <w:rsid w:val="001D67AD"/>
    <w:rsid w:val="00237313"/>
    <w:rsid w:val="0023762A"/>
    <w:rsid w:val="002B621C"/>
    <w:rsid w:val="002D560E"/>
    <w:rsid w:val="002E0D05"/>
    <w:rsid w:val="00393877"/>
    <w:rsid w:val="003D3967"/>
    <w:rsid w:val="00407F5D"/>
    <w:rsid w:val="004724A2"/>
    <w:rsid w:val="004C2AB9"/>
    <w:rsid w:val="004D7CBE"/>
    <w:rsid w:val="005270B6"/>
    <w:rsid w:val="00552124"/>
    <w:rsid w:val="00574DAF"/>
    <w:rsid w:val="00585C8E"/>
    <w:rsid w:val="005C442C"/>
    <w:rsid w:val="005D0CE8"/>
    <w:rsid w:val="00630A7D"/>
    <w:rsid w:val="006769AF"/>
    <w:rsid w:val="006A7D34"/>
    <w:rsid w:val="007467A2"/>
    <w:rsid w:val="00761190"/>
    <w:rsid w:val="007650DD"/>
    <w:rsid w:val="007C0E20"/>
    <w:rsid w:val="007C6CE6"/>
    <w:rsid w:val="007D5208"/>
    <w:rsid w:val="007E2A55"/>
    <w:rsid w:val="0080615E"/>
    <w:rsid w:val="00880373"/>
    <w:rsid w:val="008A51F3"/>
    <w:rsid w:val="008A5EBB"/>
    <w:rsid w:val="008B05BA"/>
    <w:rsid w:val="00944A03"/>
    <w:rsid w:val="0095154D"/>
    <w:rsid w:val="0095689B"/>
    <w:rsid w:val="00974E3F"/>
    <w:rsid w:val="009F4444"/>
    <w:rsid w:val="00A80A82"/>
    <w:rsid w:val="00AA7DC3"/>
    <w:rsid w:val="00AE4A95"/>
    <w:rsid w:val="00B029A1"/>
    <w:rsid w:val="00B42D5F"/>
    <w:rsid w:val="00BE2037"/>
    <w:rsid w:val="00BE3C93"/>
    <w:rsid w:val="00CF5DA0"/>
    <w:rsid w:val="00D51BE3"/>
    <w:rsid w:val="00E14522"/>
    <w:rsid w:val="00E43F99"/>
    <w:rsid w:val="00E53C7C"/>
    <w:rsid w:val="00EE6EC3"/>
    <w:rsid w:val="00F61EF1"/>
    <w:rsid w:val="00F7753E"/>
    <w:rsid w:val="00FC2DD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CD4D8-06E2-4250-A587-70F09CAD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D51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6A7D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51BE3"/>
    <w:rPr>
      <w:rFonts w:asciiTheme="majorHAnsi" w:eastAsiaTheme="majorEastAsia" w:hAnsiTheme="majorHAnsi" w:cstheme="majorBidi"/>
      <w:color w:val="2E74B5" w:themeColor="accent1" w:themeShade="BF"/>
      <w:sz w:val="32"/>
      <w:szCs w:val="32"/>
    </w:rPr>
  </w:style>
  <w:style w:type="paragraph" w:customStyle="1" w:styleId="Kd">
    <w:name w:val="Kód"/>
    <w:basedOn w:val="Normln"/>
    <w:link w:val="KdChar"/>
    <w:qFormat/>
    <w:rsid w:val="00D51BE3"/>
    <w:rPr>
      <w:rFonts w:ascii="Consolas" w:hAnsi="Consolas" w:cs="Consolas"/>
      <w:color w:val="833C0B" w:themeColor="accent2" w:themeShade="80"/>
    </w:rPr>
  </w:style>
  <w:style w:type="paragraph" w:styleId="Odstavecseseznamem">
    <w:name w:val="List Paragraph"/>
    <w:basedOn w:val="Normln"/>
    <w:uiPriority w:val="34"/>
    <w:qFormat/>
    <w:rsid w:val="001D67AD"/>
    <w:pPr>
      <w:ind w:left="720"/>
      <w:contextualSpacing/>
    </w:pPr>
  </w:style>
  <w:style w:type="character" w:customStyle="1" w:styleId="KdChar">
    <w:name w:val="Kód Char"/>
    <w:basedOn w:val="Standardnpsmoodstavce"/>
    <w:link w:val="Kd"/>
    <w:rsid w:val="00D51BE3"/>
    <w:rPr>
      <w:rFonts w:ascii="Consolas" w:hAnsi="Consolas" w:cs="Consolas"/>
      <w:color w:val="833C0B" w:themeColor="accent2" w:themeShade="80"/>
    </w:rPr>
  </w:style>
  <w:style w:type="character" w:customStyle="1" w:styleId="sc51">
    <w:name w:val="sc51"/>
    <w:basedOn w:val="Standardnpsmoodstavce"/>
    <w:rsid w:val="00EE6EC3"/>
    <w:rPr>
      <w:rFonts w:ascii="Courier New" w:hAnsi="Courier New" w:cs="Courier New" w:hint="default"/>
      <w:b/>
      <w:bCs/>
      <w:color w:val="FF6600"/>
      <w:sz w:val="18"/>
      <w:szCs w:val="18"/>
    </w:rPr>
  </w:style>
  <w:style w:type="character" w:customStyle="1" w:styleId="sc0">
    <w:name w:val="sc0"/>
    <w:basedOn w:val="Standardnpsmoodstavce"/>
    <w:rsid w:val="00EE6EC3"/>
    <w:rPr>
      <w:rFonts w:ascii="Courier New" w:hAnsi="Courier New" w:cs="Courier New" w:hint="default"/>
      <w:color w:val="FFFFFF"/>
      <w:sz w:val="18"/>
      <w:szCs w:val="18"/>
    </w:rPr>
  </w:style>
  <w:style w:type="character" w:customStyle="1" w:styleId="sc161">
    <w:name w:val="sc161"/>
    <w:basedOn w:val="Standardnpsmoodstavce"/>
    <w:rsid w:val="00EE6EC3"/>
    <w:rPr>
      <w:rFonts w:ascii="Courier New" w:hAnsi="Courier New" w:cs="Courier New" w:hint="default"/>
      <w:b/>
      <w:bCs/>
      <w:color w:val="00FFFF"/>
      <w:sz w:val="18"/>
      <w:szCs w:val="18"/>
    </w:rPr>
  </w:style>
  <w:style w:type="character" w:customStyle="1" w:styleId="sc101">
    <w:name w:val="sc101"/>
    <w:basedOn w:val="Standardnpsmoodstavce"/>
    <w:rsid w:val="00EE6EC3"/>
    <w:rPr>
      <w:rFonts w:ascii="Courier New" w:hAnsi="Courier New" w:cs="Courier New" w:hint="default"/>
      <w:color w:val="FFCC00"/>
      <w:sz w:val="18"/>
      <w:szCs w:val="18"/>
    </w:rPr>
  </w:style>
  <w:style w:type="character" w:customStyle="1" w:styleId="sc11">
    <w:name w:val="sc11"/>
    <w:basedOn w:val="Standardnpsmoodstavce"/>
    <w:rsid w:val="00EE6EC3"/>
    <w:rPr>
      <w:rFonts w:ascii="Courier New" w:hAnsi="Courier New" w:cs="Courier New" w:hint="default"/>
      <w:color w:val="FFFFFF"/>
      <w:sz w:val="18"/>
      <w:szCs w:val="18"/>
    </w:rPr>
  </w:style>
  <w:style w:type="character" w:customStyle="1" w:styleId="sc21">
    <w:name w:val="sc21"/>
    <w:basedOn w:val="Standardnpsmoodstavce"/>
    <w:rsid w:val="00EE6EC3"/>
    <w:rPr>
      <w:rFonts w:ascii="Courier New" w:hAnsi="Courier New" w:cs="Courier New" w:hint="default"/>
      <w:i/>
      <w:iCs/>
      <w:color w:val="00FF00"/>
      <w:sz w:val="18"/>
      <w:szCs w:val="18"/>
    </w:rPr>
  </w:style>
  <w:style w:type="paragraph" w:styleId="Textpoznpodarou">
    <w:name w:val="footnote text"/>
    <w:basedOn w:val="Normln"/>
    <w:link w:val="TextpoznpodarouChar"/>
    <w:uiPriority w:val="99"/>
    <w:semiHidden/>
    <w:unhideWhenUsed/>
    <w:rsid w:val="0095154D"/>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95154D"/>
    <w:rPr>
      <w:sz w:val="20"/>
      <w:szCs w:val="20"/>
    </w:rPr>
  </w:style>
  <w:style w:type="character" w:styleId="Znakapoznpodarou">
    <w:name w:val="footnote reference"/>
    <w:basedOn w:val="Standardnpsmoodstavce"/>
    <w:uiPriority w:val="99"/>
    <w:semiHidden/>
    <w:unhideWhenUsed/>
    <w:rsid w:val="0095154D"/>
    <w:rPr>
      <w:vertAlign w:val="superscript"/>
    </w:rPr>
  </w:style>
  <w:style w:type="paragraph" w:styleId="Textvysvtlivek">
    <w:name w:val="endnote text"/>
    <w:basedOn w:val="Normln"/>
    <w:link w:val="TextvysvtlivekChar"/>
    <w:uiPriority w:val="99"/>
    <w:semiHidden/>
    <w:unhideWhenUsed/>
    <w:rsid w:val="0095154D"/>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95154D"/>
    <w:rPr>
      <w:sz w:val="20"/>
      <w:szCs w:val="20"/>
    </w:rPr>
  </w:style>
  <w:style w:type="character" w:styleId="Odkaznavysvtlivky">
    <w:name w:val="endnote reference"/>
    <w:basedOn w:val="Standardnpsmoodstavce"/>
    <w:uiPriority w:val="99"/>
    <w:semiHidden/>
    <w:unhideWhenUsed/>
    <w:rsid w:val="0095154D"/>
    <w:rPr>
      <w:vertAlign w:val="superscript"/>
    </w:rPr>
  </w:style>
  <w:style w:type="character" w:styleId="Zdraznn">
    <w:name w:val="Emphasis"/>
    <w:basedOn w:val="Standardnpsmoodstavce"/>
    <w:uiPriority w:val="20"/>
    <w:qFormat/>
    <w:rsid w:val="008A5EBB"/>
    <w:rPr>
      <w:i/>
      <w:iCs/>
    </w:rPr>
  </w:style>
  <w:style w:type="table" w:styleId="Mkatabulky">
    <w:name w:val="Table Grid"/>
    <w:basedOn w:val="Normlntabulka"/>
    <w:uiPriority w:val="39"/>
    <w:rsid w:val="00AE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8A51F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8A51F3"/>
  </w:style>
  <w:style w:type="paragraph" w:styleId="Zpat">
    <w:name w:val="footer"/>
    <w:basedOn w:val="Normln"/>
    <w:link w:val="ZpatChar"/>
    <w:uiPriority w:val="99"/>
    <w:unhideWhenUsed/>
    <w:rsid w:val="008A51F3"/>
    <w:pPr>
      <w:tabs>
        <w:tab w:val="center" w:pos="4536"/>
        <w:tab w:val="right" w:pos="9072"/>
      </w:tabs>
      <w:spacing w:after="0" w:line="240" w:lineRule="auto"/>
    </w:pPr>
  </w:style>
  <w:style w:type="character" w:customStyle="1" w:styleId="ZpatChar">
    <w:name w:val="Zápatí Char"/>
    <w:basedOn w:val="Standardnpsmoodstavce"/>
    <w:link w:val="Zpat"/>
    <w:uiPriority w:val="99"/>
    <w:rsid w:val="008A51F3"/>
  </w:style>
  <w:style w:type="character" w:customStyle="1" w:styleId="Nadpis2Char">
    <w:name w:val="Nadpis 2 Char"/>
    <w:basedOn w:val="Standardnpsmoodstavce"/>
    <w:link w:val="Nadpis2"/>
    <w:uiPriority w:val="9"/>
    <w:rsid w:val="006A7D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00901">
      <w:bodyDiv w:val="1"/>
      <w:marLeft w:val="0"/>
      <w:marRight w:val="0"/>
      <w:marTop w:val="0"/>
      <w:marBottom w:val="0"/>
      <w:divBdr>
        <w:top w:val="none" w:sz="0" w:space="0" w:color="auto"/>
        <w:left w:val="none" w:sz="0" w:space="0" w:color="auto"/>
        <w:bottom w:val="none" w:sz="0" w:space="0" w:color="auto"/>
        <w:right w:val="none" w:sz="0" w:space="0" w:color="auto"/>
      </w:divBdr>
    </w:div>
    <w:div w:id="212543745">
      <w:bodyDiv w:val="1"/>
      <w:marLeft w:val="0"/>
      <w:marRight w:val="0"/>
      <w:marTop w:val="0"/>
      <w:marBottom w:val="0"/>
      <w:divBdr>
        <w:top w:val="none" w:sz="0" w:space="0" w:color="auto"/>
        <w:left w:val="none" w:sz="0" w:space="0" w:color="auto"/>
        <w:bottom w:val="none" w:sz="0" w:space="0" w:color="auto"/>
        <w:right w:val="none" w:sz="0" w:space="0" w:color="auto"/>
      </w:divBdr>
    </w:div>
    <w:div w:id="327754792">
      <w:bodyDiv w:val="1"/>
      <w:marLeft w:val="0"/>
      <w:marRight w:val="0"/>
      <w:marTop w:val="0"/>
      <w:marBottom w:val="0"/>
      <w:divBdr>
        <w:top w:val="none" w:sz="0" w:space="0" w:color="auto"/>
        <w:left w:val="none" w:sz="0" w:space="0" w:color="auto"/>
        <w:bottom w:val="none" w:sz="0" w:space="0" w:color="auto"/>
        <w:right w:val="none" w:sz="0" w:space="0" w:color="auto"/>
      </w:divBdr>
      <w:divsChild>
        <w:div w:id="463086575">
          <w:marLeft w:val="0"/>
          <w:marRight w:val="0"/>
          <w:marTop w:val="0"/>
          <w:marBottom w:val="0"/>
          <w:divBdr>
            <w:top w:val="none" w:sz="0" w:space="0" w:color="auto"/>
            <w:left w:val="none" w:sz="0" w:space="0" w:color="auto"/>
            <w:bottom w:val="none" w:sz="0" w:space="0" w:color="auto"/>
            <w:right w:val="none" w:sz="0" w:space="0" w:color="auto"/>
          </w:divBdr>
        </w:div>
      </w:divsChild>
    </w:div>
    <w:div w:id="377632427">
      <w:bodyDiv w:val="1"/>
      <w:marLeft w:val="0"/>
      <w:marRight w:val="0"/>
      <w:marTop w:val="0"/>
      <w:marBottom w:val="0"/>
      <w:divBdr>
        <w:top w:val="none" w:sz="0" w:space="0" w:color="auto"/>
        <w:left w:val="none" w:sz="0" w:space="0" w:color="auto"/>
        <w:bottom w:val="none" w:sz="0" w:space="0" w:color="auto"/>
        <w:right w:val="none" w:sz="0" w:space="0" w:color="auto"/>
      </w:divBdr>
      <w:divsChild>
        <w:div w:id="1246374619">
          <w:marLeft w:val="0"/>
          <w:marRight w:val="0"/>
          <w:marTop w:val="0"/>
          <w:marBottom w:val="0"/>
          <w:divBdr>
            <w:top w:val="none" w:sz="0" w:space="0" w:color="auto"/>
            <w:left w:val="none" w:sz="0" w:space="0" w:color="auto"/>
            <w:bottom w:val="none" w:sz="0" w:space="0" w:color="auto"/>
            <w:right w:val="none" w:sz="0" w:space="0" w:color="auto"/>
          </w:divBdr>
        </w:div>
      </w:divsChild>
    </w:div>
    <w:div w:id="742991433">
      <w:bodyDiv w:val="1"/>
      <w:marLeft w:val="0"/>
      <w:marRight w:val="0"/>
      <w:marTop w:val="0"/>
      <w:marBottom w:val="0"/>
      <w:divBdr>
        <w:top w:val="none" w:sz="0" w:space="0" w:color="auto"/>
        <w:left w:val="none" w:sz="0" w:space="0" w:color="auto"/>
        <w:bottom w:val="none" w:sz="0" w:space="0" w:color="auto"/>
        <w:right w:val="none" w:sz="0" w:space="0" w:color="auto"/>
      </w:divBdr>
      <w:divsChild>
        <w:div w:id="2141338969">
          <w:marLeft w:val="0"/>
          <w:marRight w:val="0"/>
          <w:marTop w:val="0"/>
          <w:marBottom w:val="0"/>
          <w:divBdr>
            <w:top w:val="none" w:sz="0" w:space="0" w:color="auto"/>
            <w:left w:val="none" w:sz="0" w:space="0" w:color="auto"/>
            <w:bottom w:val="none" w:sz="0" w:space="0" w:color="auto"/>
            <w:right w:val="none" w:sz="0" w:space="0" w:color="auto"/>
          </w:divBdr>
        </w:div>
      </w:divsChild>
    </w:div>
    <w:div w:id="768892096">
      <w:bodyDiv w:val="1"/>
      <w:marLeft w:val="0"/>
      <w:marRight w:val="0"/>
      <w:marTop w:val="0"/>
      <w:marBottom w:val="0"/>
      <w:divBdr>
        <w:top w:val="none" w:sz="0" w:space="0" w:color="auto"/>
        <w:left w:val="none" w:sz="0" w:space="0" w:color="auto"/>
        <w:bottom w:val="none" w:sz="0" w:space="0" w:color="auto"/>
        <w:right w:val="none" w:sz="0" w:space="0" w:color="auto"/>
      </w:divBdr>
    </w:div>
    <w:div w:id="855458606">
      <w:bodyDiv w:val="1"/>
      <w:marLeft w:val="0"/>
      <w:marRight w:val="0"/>
      <w:marTop w:val="0"/>
      <w:marBottom w:val="0"/>
      <w:divBdr>
        <w:top w:val="none" w:sz="0" w:space="0" w:color="auto"/>
        <w:left w:val="none" w:sz="0" w:space="0" w:color="auto"/>
        <w:bottom w:val="none" w:sz="0" w:space="0" w:color="auto"/>
        <w:right w:val="none" w:sz="0" w:space="0" w:color="auto"/>
      </w:divBdr>
    </w:div>
    <w:div w:id="866868714">
      <w:bodyDiv w:val="1"/>
      <w:marLeft w:val="0"/>
      <w:marRight w:val="0"/>
      <w:marTop w:val="0"/>
      <w:marBottom w:val="0"/>
      <w:divBdr>
        <w:top w:val="none" w:sz="0" w:space="0" w:color="auto"/>
        <w:left w:val="none" w:sz="0" w:space="0" w:color="auto"/>
        <w:bottom w:val="none" w:sz="0" w:space="0" w:color="auto"/>
        <w:right w:val="none" w:sz="0" w:space="0" w:color="auto"/>
      </w:divBdr>
    </w:div>
    <w:div w:id="884753458">
      <w:bodyDiv w:val="1"/>
      <w:marLeft w:val="0"/>
      <w:marRight w:val="0"/>
      <w:marTop w:val="0"/>
      <w:marBottom w:val="0"/>
      <w:divBdr>
        <w:top w:val="none" w:sz="0" w:space="0" w:color="auto"/>
        <w:left w:val="none" w:sz="0" w:space="0" w:color="auto"/>
        <w:bottom w:val="none" w:sz="0" w:space="0" w:color="auto"/>
        <w:right w:val="none" w:sz="0" w:space="0" w:color="auto"/>
      </w:divBdr>
      <w:divsChild>
        <w:div w:id="1979457636">
          <w:marLeft w:val="0"/>
          <w:marRight w:val="0"/>
          <w:marTop w:val="0"/>
          <w:marBottom w:val="0"/>
          <w:divBdr>
            <w:top w:val="none" w:sz="0" w:space="0" w:color="auto"/>
            <w:left w:val="none" w:sz="0" w:space="0" w:color="auto"/>
            <w:bottom w:val="none" w:sz="0" w:space="0" w:color="auto"/>
            <w:right w:val="none" w:sz="0" w:space="0" w:color="auto"/>
          </w:divBdr>
        </w:div>
      </w:divsChild>
    </w:div>
    <w:div w:id="890310145">
      <w:bodyDiv w:val="1"/>
      <w:marLeft w:val="0"/>
      <w:marRight w:val="0"/>
      <w:marTop w:val="0"/>
      <w:marBottom w:val="0"/>
      <w:divBdr>
        <w:top w:val="none" w:sz="0" w:space="0" w:color="auto"/>
        <w:left w:val="none" w:sz="0" w:space="0" w:color="auto"/>
        <w:bottom w:val="none" w:sz="0" w:space="0" w:color="auto"/>
        <w:right w:val="none" w:sz="0" w:space="0" w:color="auto"/>
      </w:divBdr>
    </w:div>
    <w:div w:id="969894348">
      <w:bodyDiv w:val="1"/>
      <w:marLeft w:val="0"/>
      <w:marRight w:val="0"/>
      <w:marTop w:val="0"/>
      <w:marBottom w:val="0"/>
      <w:divBdr>
        <w:top w:val="none" w:sz="0" w:space="0" w:color="auto"/>
        <w:left w:val="none" w:sz="0" w:space="0" w:color="auto"/>
        <w:bottom w:val="none" w:sz="0" w:space="0" w:color="auto"/>
        <w:right w:val="none" w:sz="0" w:space="0" w:color="auto"/>
      </w:divBdr>
    </w:div>
    <w:div w:id="1177497448">
      <w:bodyDiv w:val="1"/>
      <w:marLeft w:val="0"/>
      <w:marRight w:val="0"/>
      <w:marTop w:val="0"/>
      <w:marBottom w:val="0"/>
      <w:divBdr>
        <w:top w:val="none" w:sz="0" w:space="0" w:color="auto"/>
        <w:left w:val="none" w:sz="0" w:space="0" w:color="auto"/>
        <w:bottom w:val="none" w:sz="0" w:space="0" w:color="auto"/>
        <w:right w:val="none" w:sz="0" w:space="0" w:color="auto"/>
      </w:divBdr>
      <w:divsChild>
        <w:div w:id="804738256">
          <w:marLeft w:val="0"/>
          <w:marRight w:val="0"/>
          <w:marTop w:val="0"/>
          <w:marBottom w:val="0"/>
          <w:divBdr>
            <w:top w:val="none" w:sz="0" w:space="0" w:color="auto"/>
            <w:left w:val="none" w:sz="0" w:space="0" w:color="auto"/>
            <w:bottom w:val="none" w:sz="0" w:space="0" w:color="auto"/>
            <w:right w:val="none" w:sz="0" w:space="0" w:color="auto"/>
          </w:divBdr>
        </w:div>
      </w:divsChild>
    </w:div>
    <w:div w:id="1381704677">
      <w:bodyDiv w:val="1"/>
      <w:marLeft w:val="0"/>
      <w:marRight w:val="0"/>
      <w:marTop w:val="0"/>
      <w:marBottom w:val="0"/>
      <w:divBdr>
        <w:top w:val="none" w:sz="0" w:space="0" w:color="auto"/>
        <w:left w:val="none" w:sz="0" w:space="0" w:color="auto"/>
        <w:bottom w:val="none" w:sz="0" w:space="0" w:color="auto"/>
        <w:right w:val="none" w:sz="0" w:space="0" w:color="auto"/>
      </w:divBdr>
    </w:div>
    <w:div w:id="1495027264">
      <w:bodyDiv w:val="1"/>
      <w:marLeft w:val="0"/>
      <w:marRight w:val="0"/>
      <w:marTop w:val="0"/>
      <w:marBottom w:val="0"/>
      <w:divBdr>
        <w:top w:val="none" w:sz="0" w:space="0" w:color="auto"/>
        <w:left w:val="none" w:sz="0" w:space="0" w:color="auto"/>
        <w:bottom w:val="none" w:sz="0" w:space="0" w:color="auto"/>
        <w:right w:val="none" w:sz="0" w:space="0" w:color="auto"/>
      </w:divBdr>
      <w:divsChild>
        <w:div w:id="1871260934">
          <w:marLeft w:val="0"/>
          <w:marRight w:val="0"/>
          <w:marTop w:val="0"/>
          <w:marBottom w:val="0"/>
          <w:divBdr>
            <w:top w:val="none" w:sz="0" w:space="0" w:color="auto"/>
            <w:left w:val="none" w:sz="0" w:space="0" w:color="auto"/>
            <w:bottom w:val="none" w:sz="0" w:space="0" w:color="auto"/>
            <w:right w:val="none" w:sz="0" w:space="0" w:color="auto"/>
          </w:divBdr>
        </w:div>
      </w:divsChild>
    </w:div>
    <w:div w:id="1703439818">
      <w:bodyDiv w:val="1"/>
      <w:marLeft w:val="0"/>
      <w:marRight w:val="0"/>
      <w:marTop w:val="0"/>
      <w:marBottom w:val="0"/>
      <w:divBdr>
        <w:top w:val="none" w:sz="0" w:space="0" w:color="auto"/>
        <w:left w:val="none" w:sz="0" w:space="0" w:color="auto"/>
        <w:bottom w:val="none" w:sz="0" w:space="0" w:color="auto"/>
        <w:right w:val="none" w:sz="0" w:space="0" w:color="auto"/>
      </w:divBdr>
    </w:div>
    <w:div w:id="1805002705">
      <w:bodyDiv w:val="1"/>
      <w:marLeft w:val="0"/>
      <w:marRight w:val="0"/>
      <w:marTop w:val="0"/>
      <w:marBottom w:val="0"/>
      <w:divBdr>
        <w:top w:val="none" w:sz="0" w:space="0" w:color="auto"/>
        <w:left w:val="none" w:sz="0" w:space="0" w:color="auto"/>
        <w:bottom w:val="none" w:sz="0" w:space="0" w:color="auto"/>
        <w:right w:val="none" w:sz="0" w:space="0" w:color="auto"/>
      </w:divBdr>
    </w:div>
    <w:div w:id="1946960680">
      <w:bodyDiv w:val="1"/>
      <w:marLeft w:val="0"/>
      <w:marRight w:val="0"/>
      <w:marTop w:val="0"/>
      <w:marBottom w:val="0"/>
      <w:divBdr>
        <w:top w:val="none" w:sz="0" w:space="0" w:color="auto"/>
        <w:left w:val="none" w:sz="0" w:space="0" w:color="auto"/>
        <w:bottom w:val="none" w:sz="0" w:space="0" w:color="auto"/>
        <w:right w:val="none" w:sz="0" w:space="0" w:color="auto"/>
      </w:divBdr>
      <w:divsChild>
        <w:div w:id="1480732124">
          <w:marLeft w:val="0"/>
          <w:marRight w:val="0"/>
          <w:marTop w:val="0"/>
          <w:marBottom w:val="0"/>
          <w:divBdr>
            <w:top w:val="none" w:sz="0" w:space="0" w:color="auto"/>
            <w:left w:val="none" w:sz="0" w:space="0" w:color="auto"/>
            <w:bottom w:val="none" w:sz="0" w:space="0" w:color="auto"/>
            <w:right w:val="none" w:sz="0" w:space="0" w:color="auto"/>
          </w:divBdr>
        </w:div>
      </w:divsChild>
    </w:div>
    <w:div w:id="2107774364">
      <w:bodyDiv w:val="1"/>
      <w:marLeft w:val="0"/>
      <w:marRight w:val="0"/>
      <w:marTop w:val="0"/>
      <w:marBottom w:val="0"/>
      <w:divBdr>
        <w:top w:val="none" w:sz="0" w:space="0" w:color="auto"/>
        <w:left w:val="none" w:sz="0" w:space="0" w:color="auto"/>
        <w:bottom w:val="none" w:sz="0" w:space="0" w:color="auto"/>
        <w:right w:val="none" w:sz="0" w:space="0" w:color="auto"/>
      </w:divBdr>
      <w:divsChild>
        <w:div w:id="479541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31451-1345-4B76-A9D9-D3C1E150A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Pages>
  <Words>646</Words>
  <Characters>3815</Characters>
  <Application>Microsoft Office Word</Application>
  <DocSecurity>0</DocSecurity>
  <Lines>31</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Velecký Jan (175074)</dc:creator>
  <cp:keywords/>
  <dc:description/>
  <cp:lastModifiedBy>Velecký Jan (175074)</cp:lastModifiedBy>
  <cp:revision>35</cp:revision>
  <dcterms:created xsi:type="dcterms:W3CDTF">2015-12-13T12:07:00Z</dcterms:created>
  <dcterms:modified xsi:type="dcterms:W3CDTF">2015-12-13T23:05:00Z</dcterms:modified>
</cp:coreProperties>
</file>