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66619415" w:rsidR="00F85614" w:rsidRPr="007F59D5" w:rsidRDefault="00F33081" w:rsidP="00F33081">
      <w:pPr>
        <w:pStyle w:val="Titre1"/>
        <w:rPr>
          <w:lang w:val="fr-FR"/>
        </w:rPr>
      </w:pPr>
      <w:r w:rsidRPr="007F59D5">
        <w:rPr>
          <w:lang w:val="fr-FR"/>
        </w:rPr>
        <w:t>II</w:t>
      </w:r>
      <w:r w:rsidR="007F59D5" w:rsidRPr="007F59D5">
        <w:rPr>
          <w:lang w:val="fr-FR"/>
        </w:rPr>
        <w:t xml:space="preserve"> </w:t>
      </w:r>
      <w:r w:rsidRPr="007F59D5">
        <w:rPr>
          <w:lang w:val="fr-FR"/>
        </w:rPr>
        <w:t>Formats et spécificités des plans</w:t>
      </w:r>
    </w:p>
    <w:p w14:paraId="0AC6C746" w14:textId="1CC4E73C" w:rsidR="00F33081" w:rsidRDefault="00F33081" w:rsidP="00F33081">
      <w:pPr>
        <w:pStyle w:val="Titre2"/>
        <w:rPr>
          <w:lang w:val="fr-FR"/>
        </w:rPr>
      </w:pPr>
      <w:r>
        <w:rPr>
          <w:lang w:val="fr-FR"/>
        </w:rPr>
        <w:t xml:space="preserve">2.1 Plans </w:t>
      </w:r>
      <w:r w:rsidRPr="00F33081">
        <w:rPr>
          <w:lang w:val="fr-FR"/>
        </w:rPr>
        <w:t>2D</w:t>
      </w:r>
    </w:p>
    <w:p w14:paraId="37137C98" w14:textId="75703D66" w:rsidR="00902EAA" w:rsidRPr="00902EAA" w:rsidRDefault="00902EAA" w:rsidP="00902EAA">
      <w:pPr>
        <w:pStyle w:val="Titre3"/>
        <w:rPr>
          <w:lang w:val="fr-FR"/>
        </w:rPr>
      </w:pPr>
      <w:r w:rsidRPr="00902EAA">
        <w:rPr>
          <w:rStyle w:val="lev"/>
          <w:b w:val="0"/>
          <w:bCs w:val="0"/>
          <w:lang w:val="fr-FR"/>
        </w:rPr>
        <w:t>2.</w:t>
      </w:r>
      <w:r>
        <w:rPr>
          <w:rStyle w:val="lev"/>
          <w:b w:val="0"/>
          <w:bCs w:val="0"/>
          <w:lang w:val="fr-FR"/>
        </w:rPr>
        <w:t>1.1</w:t>
      </w:r>
      <w:r w:rsidRPr="00902EAA">
        <w:rPr>
          <w:rStyle w:val="lev"/>
          <w:b w:val="0"/>
          <w:bCs w:val="0"/>
          <w:lang w:val="fr-FR"/>
        </w:rPr>
        <w:t xml:space="preserve"> Formats et spécificités des plans </w:t>
      </w:r>
      <w:r>
        <w:rPr>
          <w:rStyle w:val="lev"/>
          <w:b w:val="0"/>
          <w:bCs w:val="0"/>
          <w:lang w:val="fr-FR"/>
        </w:rPr>
        <w:t>2</w:t>
      </w:r>
      <w:r w:rsidRPr="00902EAA">
        <w:rPr>
          <w:rStyle w:val="lev"/>
          <w:b w:val="0"/>
          <w:bCs w:val="0"/>
          <w:lang w:val="fr-FR"/>
        </w:rPr>
        <w:t>D</w:t>
      </w:r>
    </w:p>
    <w:p w14:paraId="003D2343" w14:textId="77777777" w:rsidR="00A615BC" w:rsidRPr="00902EAA" w:rsidRDefault="00A615BC" w:rsidP="00A615BC">
      <w:pPr>
        <w:pStyle w:val="NormalWeb"/>
        <w:rPr>
          <w:rFonts w:asciiTheme="minorHAnsi" w:eastAsiaTheme="minorHAnsi" w:hAnsiTheme="minorHAnsi" w:cstheme="minorBidi"/>
          <w:kern w:val="2"/>
          <w:lang w:val="fr-FR"/>
          <w14:ligatures w14:val="standardContextual"/>
        </w:rPr>
      </w:pPr>
      <w:r w:rsidRPr="00902EAA">
        <w:rPr>
          <w:rFonts w:asciiTheme="minorHAnsi" w:eastAsiaTheme="minorHAnsi" w:hAnsiTheme="minorHAnsi" w:cstheme="minorBidi"/>
          <w:kern w:val="2"/>
          <w:lang w:val="fr-FR"/>
          <w14:ligatures w14:val="standardContextual"/>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39DF0ECC" w14:textId="61A0E852" w:rsidR="00A615BC" w:rsidRPr="00902EAA" w:rsidRDefault="00A615BC" w:rsidP="00A615BC">
      <w:pPr>
        <w:pStyle w:val="NormalWeb"/>
        <w:rPr>
          <w:rFonts w:asciiTheme="minorHAnsi" w:eastAsiaTheme="minorHAnsi" w:hAnsiTheme="minorHAnsi" w:cstheme="minorBidi"/>
          <w:kern w:val="2"/>
          <w:lang w:val="fr-FR"/>
          <w14:ligatures w14:val="standardContextual"/>
        </w:rPr>
      </w:pPr>
      <w:r w:rsidRPr="00902EAA">
        <w:rPr>
          <w:rFonts w:asciiTheme="minorHAnsi" w:eastAsiaTheme="minorHAnsi" w:hAnsiTheme="minorHAnsi" w:cstheme="minorBidi"/>
          <w:kern w:val="2"/>
          <w:lang w:val="fr-FR"/>
          <w14:ligatures w14:val="standardContextual"/>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15AEB8F3" w14:textId="77777777" w:rsidR="00E84B8B" w:rsidRPr="00902EAA" w:rsidRDefault="00E84B8B" w:rsidP="00A615BC">
      <w:pPr>
        <w:pStyle w:val="NormalWeb"/>
        <w:rPr>
          <w:rFonts w:asciiTheme="minorHAnsi" w:eastAsiaTheme="minorHAnsi" w:hAnsiTheme="minorHAnsi" w:cstheme="minorBidi"/>
          <w:kern w:val="2"/>
          <w:lang w:val="fr-FR"/>
          <w14:ligatures w14:val="standardContextual"/>
        </w:rPr>
      </w:pPr>
      <w:r w:rsidRPr="00902EAA">
        <w:rPr>
          <w:rFonts w:asciiTheme="minorHAnsi" w:eastAsiaTheme="minorHAnsi" w:hAnsiTheme="minorHAnsi" w:cstheme="minorBidi"/>
          <w:kern w:val="2"/>
          <w:lang w:val="fr-FR"/>
          <w14:ligatures w14:val="standardContextual"/>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196CD4EB" w14:textId="41D0BC02" w:rsidR="007F59D5" w:rsidRDefault="002D7189" w:rsidP="002D7189">
      <w:pPr>
        <w:rPr>
          <w:lang w:val="fr-FR" w:eastAsia="es-AR"/>
        </w:rPr>
      </w:pPr>
      <w:r w:rsidRPr="002D7189">
        <w:rPr>
          <w:lang w:val="fr-FR" w:eastAsia="es-AR"/>
        </w:rPr>
        <w:t>Ces formats image et PDF, largement répandus, constituent donc le véritable nœud du problème. Contrairement aux fichiers CAO/DAO vectoriels, qui ne sont pas forcément accessibles par tous les maillons de la chaîne de traitement, ils ne donnent pas un accès direct aux objets, aux dimensions ou aux annotations.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p w14:paraId="4A70AC6C" w14:textId="77777777" w:rsidR="00902EAA" w:rsidRPr="007F59D5" w:rsidRDefault="00902EAA" w:rsidP="002D7189">
      <w:pPr>
        <w:rPr>
          <w:lang w:val="fr-FR" w:eastAsia="es-AR"/>
        </w:rPr>
      </w:pPr>
    </w:p>
    <w:p w14:paraId="2710DEAA" w14:textId="7142DDD4" w:rsidR="00B9705C" w:rsidRPr="00B9705C" w:rsidRDefault="00B9705C" w:rsidP="00902EAA">
      <w:pPr>
        <w:pStyle w:val="Titre3"/>
        <w:rPr>
          <w:lang w:val="fr-FR"/>
        </w:rPr>
      </w:pPr>
      <w:r w:rsidRPr="00B9705C">
        <w:rPr>
          <w:lang w:val="fr-FR"/>
        </w:rPr>
        <w:lastRenderedPageBreak/>
        <w:t>2.</w:t>
      </w:r>
      <w:r w:rsidR="00902EAA">
        <w:rPr>
          <w:lang w:val="fr-FR"/>
        </w:rPr>
        <w:t>1.2</w:t>
      </w:r>
      <w:r w:rsidRPr="00B9705C">
        <w:rPr>
          <w:lang w:val="fr-FR"/>
        </w:rPr>
        <w:t xml:space="preserve"> Traitement des plans 2D</w:t>
      </w:r>
    </w:p>
    <w:p w14:paraId="13B2686D" w14:textId="11814993" w:rsidR="00003258" w:rsidRPr="00003258" w:rsidRDefault="00003258" w:rsidP="00003258">
      <w:pPr>
        <w:rPr>
          <w:lang w:val="fr-FR"/>
        </w:rPr>
      </w:pPr>
      <w:r w:rsidRPr="00003258">
        <w:rPr>
          <w:lang w:val="fr-FR"/>
        </w:rPr>
        <w:t xml:space="preserve">La reconnaissance optique de caractères (OCR) est une approche incontournable pour extraire automatiquement les informations textuelles présentes dans les plans 2D. Ces documents comportent en effet des annotations essentielles telles que des </w:t>
      </w:r>
      <w:r w:rsidR="00902EAA" w:rsidRPr="00003258">
        <w:rPr>
          <w:lang w:val="fr-FR"/>
        </w:rPr>
        <w:t>côtes</w:t>
      </w:r>
      <w:r w:rsidRPr="00003258">
        <w:rPr>
          <w:lang w:val="fr-FR"/>
        </w:rPr>
        <w:t xml:space="preserve">, tolérances, légendes ou encore blocs de métadonnées. L’étude de Villena Toro et al. (2023) illustre ce potentiel avec l’outil </w:t>
      </w:r>
      <w:proofErr w:type="spellStart"/>
      <w:r w:rsidRPr="00241AC7">
        <w:rPr>
          <w:lang w:val="fr-FR"/>
        </w:rPr>
        <w:t>eDOCr</w:t>
      </w:r>
      <w:proofErr w:type="spellEnd"/>
      <w:r w:rsidRPr="00003258">
        <w:rPr>
          <w:lang w:val="fr-FR"/>
        </w:rPr>
        <w:t xml:space="preserve">,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 : environ </w:t>
      </w:r>
      <w:r w:rsidRPr="00241AC7">
        <w:rPr>
          <w:lang w:val="fr-FR"/>
        </w:rPr>
        <w:t>90 % de précision et de rappel</w:t>
      </w:r>
      <w:r w:rsidRPr="00003258">
        <w:rPr>
          <w:lang w:val="fr-FR"/>
        </w:rPr>
        <w:t xml:space="preserve">, avec un </w:t>
      </w:r>
      <w:r w:rsidRPr="00241AC7">
        <w:rPr>
          <w:lang w:val="fr-FR"/>
        </w:rPr>
        <w:t>F1-score de 94 %</w:t>
      </w:r>
      <w:r w:rsidRPr="00003258">
        <w:rPr>
          <w:lang w:val="fr-FR"/>
        </w:rPr>
        <w:t xml:space="preserve"> et un </w:t>
      </w:r>
      <w:r w:rsidRPr="00241AC7">
        <w:rPr>
          <w:lang w:val="fr-FR"/>
        </w:rPr>
        <w:t>taux d’erreur caractère inférieur à 8 %</w:t>
      </w:r>
      <w:r w:rsidRPr="00003258">
        <w:rPr>
          <w:lang w:val="fr-FR"/>
        </w:rPr>
        <w:t xml:space="preserve">. Ces résultats montrent que l’OCR peut constituer une base robuste pour extraire les données textuelles d’un plan. </w:t>
      </w:r>
    </w:p>
    <w:p w14:paraId="08CDC316" w14:textId="0D758053" w:rsidR="00003258" w:rsidRPr="00241AC7" w:rsidRDefault="00003258" w:rsidP="00003258">
      <w:pPr>
        <w:rPr>
          <w:lang w:val="fr-FR"/>
        </w:rPr>
      </w:pPr>
      <w:r w:rsidRPr="00241AC7">
        <w:rPr>
          <w:lang w:val="fr-FR"/>
        </w:rPr>
        <w:t xml:space="preserve">Au-delà des textes, l’identification automatique des composants graphiques (murs, colonnes, poutres, ouvertures, etc.)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Zhao et al. (2020) 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75632D5" w14:textId="65E58BC7" w:rsidR="009752EF" w:rsidRDefault="00003258" w:rsidP="00241AC7">
      <w:pPr>
        <w:rPr>
          <w:lang w:val="fr-FR"/>
        </w:rPr>
      </w:pPr>
      <w:r w:rsidRPr="00241AC7">
        <w:rPr>
          <w:lang w:val="fr-FR"/>
        </w:rPr>
        <w:t xml:space="preserve">Malgré ces avancées, des limites importantes subsistent. </w:t>
      </w:r>
      <w:r w:rsidRPr="00003258">
        <w:rPr>
          <w:lang w:val="fr-FR"/>
        </w:rPr>
        <w:t>L’OCR reste sensible à la qualité des documents</w:t>
      </w:r>
      <w:r>
        <w:rPr>
          <w:lang w:val="fr-FR"/>
        </w:rPr>
        <w:t xml:space="preserve">, </w:t>
      </w:r>
      <w:r w:rsidRPr="00003258">
        <w:rPr>
          <w:lang w:val="fr-FR"/>
        </w:rPr>
        <w:t xml:space="preserve">scans de faible résolution, polices atypiques ou annotations manuscrites peuvent fortement réduire la précision. </w:t>
      </w:r>
      <w:r w:rsidRPr="00241AC7">
        <w:rPr>
          <w:lang w:val="fr-FR"/>
        </w:rPr>
        <w:t>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2336A332" w14:textId="77777777" w:rsidR="00F17912" w:rsidRDefault="00F17912" w:rsidP="00241AC7">
      <w:pPr>
        <w:rPr>
          <w:lang w:val="fr-FR"/>
        </w:rPr>
      </w:pPr>
    </w:p>
    <w:p w14:paraId="01D3AB3C" w14:textId="48D4D522" w:rsidR="00902EAA" w:rsidRPr="00902EAA" w:rsidRDefault="00902EAA" w:rsidP="00902EAA">
      <w:pPr>
        <w:pStyle w:val="Titre2"/>
        <w:rPr>
          <w:lang w:val="fr-FR"/>
        </w:rPr>
      </w:pPr>
      <w:r w:rsidRPr="00902EAA">
        <w:rPr>
          <w:rStyle w:val="lev"/>
          <w:b/>
          <w:bCs w:val="0"/>
          <w:lang w:val="fr-FR"/>
        </w:rPr>
        <w:t>2.</w:t>
      </w:r>
      <w:r w:rsidRPr="00902EAA">
        <w:rPr>
          <w:rStyle w:val="lev"/>
          <w:b/>
          <w:bCs w:val="0"/>
          <w:lang w:val="fr-FR"/>
        </w:rPr>
        <w:t>2</w:t>
      </w:r>
      <w:r w:rsidRPr="00902EAA">
        <w:rPr>
          <w:rStyle w:val="lev"/>
          <w:b/>
          <w:bCs w:val="0"/>
          <w:lang w:val="fr-FR"/>
        </w:rPr>
        <w:t xml:space="preserve"> Plans 3D</w:t>
      </w:r>
    </w:p>
    <w:p w14:paraId="3A870EFF" w14:textId="53E1A77E" w:rsidR="00902EAA" w:rsidRPr="00902EAA" w:rsidRDefault="00902EAA" w:rsidP="00902EAA">
      <w:pPr>
        <w:pStyle w:val="Titre3"/>
        <w:rPr>
          <w:lang w:val="fr-FR"/>
        </w:rPr>
      </w:pPr>
      <w:r w:rsidRPr="00902EAA">
        <w:rPr>
          <w:rStyle w:val="lev"/>
          <w:b w:val="0"/>
          <w:bCs w:val="0"/>
          <w:lang w:val="fr-FR"/>
        </w:rPr>
        <w:t>2.</w:t>
      </w:r>
      <w:r>
        <w:rPr>
          <w:rStyle w:val="lev"/>
          <w:b w:val="0"/>
          <w:bCs w:val="0"/>
          <w:lang w:val="fr-FR"/>
        </w:rPr>
        <w:t>2</w:t>
      </w:r>
      <w:r w:rsidRPr="00902EAA">
        <w:rPr>
          <w:rStyle w:val="lev"/>
          <w:b w:val="0"/>
          <w:bCs w:val="0"/>
          <w:lang w:val="fr-FR"/>
        </w:rPr>
        <w:t>.1 Formats et spécificités des plans 3D</w:t>
      </w:r>
    </w:p>
    <w:p w14:paraId="75750AAB" w14:textId="77777777" w:rsidR="00902EAA" w:rsidRPr="00902EAA" w:rsidRDefault="00902EAA" w:rsidP="00902EAA">
      <w:pPr>
        <w:rPr>
          <w:lang w:val="fr-FR"/>
        </w:rPr>
      </w:pPr>
      <w:r w:rsidRPr="00902EAA">
        <w:rPr>
          <w:lang w:val="fr-FR"/>
        </w:rPr>
        <w:t xml:space="preserve">Les plans tridimensionnels, issus de la modélisation numérique, occupent une place centrale dans les processus de conception et de construction modernes. </w:t>
      </w:r>
      <w:r w:rsidRPr="00902EAA">
        <w:rPr>
          <w:lang w:val="fr-FR"/>
        </w:rPr>
        <w:lastRenderedPageBreak/>
        <w:t xml:space="preserve">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w:t>
      </w:r>
      <w:r w:rsidRPr="00902EAA">
        <w:t>DWG</w:t>
      </w:r>
      <w:r w:rsidRPr="00902EAA">
        <w:rPr>
          <w:lang w:val="fr-FR"/>
        </w:rPr>
        <w:t xml:space="preserve">, </w:t>
      </w:r>
      <w:r w:rsidRPr="00902EAA">
        <w:t>IFC</w:t>
      </w:r>
      <w:r w:rsidRPr="00902EAA">
        <w:rPr>
          <w:lang w:val="fr-FR"/>
        </w:rPr>
        <w:t xml:space="preserve">, </w:t>
      </w:r>
      <w:r w:rsidRPr="00902EAA">
        <w:t>STEP</w:t>
      </w:r>
      <w:r w:rsidRPr="00902EAA">
        <w:rPr>
          <w:lang w:val="fr-FR"/>
        </w:rPr>
        <w:t xml:space="preserve">, </w:t>
      </w:r>
      <w:r w:rsidRPr="00902EAA">
        <w:t>Revit (RVT)</w:t>
      </w:r>
      <w:r w:rsidRPr="00902EAA">
        <w:rPr>
          <w:lang w:val="fr-FR"/>
        </w:rPr>
        <w:t xml:space="preserve"> ou </w:t>
      </w:r>
      <w:r w:rsidRPr="00902EAA">
        <w:t>3DS</w:t>
      </w:r>
      <w:r w:rsidRPr="00902EAA">
        <w:rPr>
          <w:lang w:val="fr-FR"/>
        </w:rPr>
        <w:t>. Leur usage s’est largement démocratisé grâce à la généralisation des logiciels comme AutoCAD, Revit, SolidWorks ou Catia.</w:t>
      </w:r>
    </w:p>
    <w:p w14:paraId="26273390" w14:textId="77777777" w:rsidR="00902EAA" w:rsidRPr="00902EAA" w:rsidRDefault="00902EAA" w:rsidP="00902EAA">
      <w:pPr>
        <w:rPr>
          <w:lang w:val="fr-FR"/>
        </w:rPr>
      </w:pPr>
      <w:r w:rsidRPr="00902EAA">
        <w:rPr>
          <w:lang w:val="fr-FR"/>
        </w:rPr>
        <w:t xml:space="preserve">Les formats BIM, en particulier le </w:t>
      </w:r>
      <w:r w:rsidRPr="00902EAA">
        <w:t>format IFC (</w:t>
      </w:r>
      <w:proofErr w:type="spellStart"/>
      <w:r w:rsidRPr="00902EAA">
        <w:t>Industry</w:t>
      </w:r>
      <w:proofErr w:type="spellEnd"/>
      <w:r w:rsidRPr="00902EAA">
        <w:t xml:space="preserve"> </w:t>
      </w:r>
      <w:proofErr w:type="spellStart"/>
      <w:r w:rsidRPr="00902EAA">
        <w:t>Foundation</w:t>
      </w:r>
      <w:proofErr w:type="spellEnd"/>
      <w:r w:rsidRPr="00902EAA">
        <w:t xml:space="preserve"> Classes)</w:t>
      </w:r>
      <w:r w:rsidRPr="00902EAA">
        <w:rPr>
          <w:lang w:val="fr-FR"/>
        </w:rPr>
        <w:t>, constituent aujourd’hui une référence pour l’échange de données structurées entre acteurs d’un même projet. Ils permettent de décrire non seulement la géométrie des éléments, mais aussi leurs propriétés sémantiques (type d’élément, matériau, fonction, relation spatiale, etc.). Cette richesse d’information favorise la collaboration interdisciplinaire et l’automatisation de nombreuses tâches, telles que la détection de collisions ou la planification de chantier.</w:t>
      </w:r>
    </w:p>
    <w:p w14:paraId="48F1F573" w14:textId="77777777" w:rsidR="00902EAA" w:rsidRPr="00902EAA" w:rsidRDefault="00902EAA" w:rsidP="00902EAA">
      <w:pPr>
        <w:rPr>
          <w:lang w:val="fr-FR"/>
        </w:rPr>
      </w:pPr>
      <w:r w:rsidRPr="00902EAA">
        <w:rPr>
          <w:lang w:val="fr-FR"/>
        </w:rPr>
        <w:t xml:space="preserve">Cependant, cette complexité même représente un défi pour leur exploitation automatique. Les fichiers 3D sont volumineux, hétérogènes et parfois propriétaires, ce qui complique leur traitement et leur </w:t>
      </w:r>
      <w:r w:rsidRPr="00902EAA">
        <w:rPr>
          <w:highlight w:val="yellow"/>
          <w:lang w:val="fr-FR"/>
        </w:rPr>
        <w:t>interopérabilité</w:t>
      </w:r>
      <w:r w:rsidRPr="00902EAA">
        <w:rPr>
          <w:lang w:val="fr-FR"/>
        </w:rPr>
        <w:t>. Certains formats, comme DWG ou RVT, sont fermés et nécessitent des outils spécifiques pour être lus, tandis que d’autres, comme IFC, bien que standardisés, peuvent présenter des divergences d’interprétation selon les logiciels. De plus, tous les modèles 3D ne contiennent pas nécessairement des informations sémantiques complètes : dans bien des cas, ils se limitent à une géométrie pure, sans description explicite des objets.</w:t>
      </w:r>
    </w:p>
    <w:p w14:paraId="21FE7B0F" w14:textId="2C32FA35" w:rsidR="00902EAA" w:rsidRPr="00902EAA" w:rsidRDefault="00902EAA" w:rsidP="00902EAA">
      <w:pPr>
        <w:rPr>
          <w:lang w:val="fr-FR"/>
        </w:rPr>
      </w:pPr>
      <w:r w:rsidRPr="00902EAA">
        <w:rPr>
          <w:lang w:val="fr-FR"/>
        </w:rPr>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62A3870C" w14:textId="77777777" w:rsidR="00902EAA" w:rsidRPr="00902EAA" w:rsidRDefault="00902EAA" w:rsidP="00902EAA">
      <w:pPr>
        <w:pStyle w:val="NormalWeb"/>
        <w:rPr>
          <w:lang w:val="fr-FR"/>
        </w:rPr>
      </w:pPr>
    </w:p>
    <w:p w14:paraId="3AC3BE2C" w14:textId="5638B18F" w:rsidR="00902EAA" w:rsidRPr="00902EAA" w:rsidRDefault="00902EAA" w:rsidP="00902EAA">
      <w:pPr>
        <w:pStyle w:val="Titre3"/>
        <w:rPr>
          <w:lang w:val="fr-FR"/>
        </w:rPr>
      </w:pPr>
      <w:r w:rsidRPr="00902EAA">
        <w:rPr>
          <w:rStyle w:val="lev"/>
          <w:b w:val="0"/>
          <w:bCs w:val="0"/>
          <w:lang w:val="fr-FR"/>
        </w:rPr>
        <w:t>2.</w:t>
      </w:r>
      <w:r>
        <w:rPr>
          <w:rStyle w:val="lev"/>
          <w:b w:val="0"/>
          <w:bCs w:val="0"/>
          <w:lang w:val="fr-FR"/>
        </w:rPr>
        <w:t>2</w:t>
      </w:r>
      <w:r w:rsidRPr="00902EAA">
        <w:rPr>
          <w:rStyle w:val="lev"/>
          <w:b w:val="0"/>
          <w:bCs w:val="0"/>
          <w:lang w:val="fr-FR"/>
        </w:rPr>
        <w:t>.2 Traitement des plans 3D</w:t>
      </w:r>
    </w:p>
    <w:p w14:paraId="02638205" w14:textId="77777777" w:rsidR="00902EAA" w:rsidRPr="00902EAA" w:rsidRDefault="00902EAA" w:rsidP="00902EAA">
      <w:pPr>
        <w:rPr>
          <w:lang w:val="fr-FR"/>
        </w:rPr>
      </w:pPr>
      <w:r w:rsidRPr="00902EAA">
        <w:rPr>
          <w:lang w:val="fr-FR"/>
        </w:rPr>
        <w:t xml:space="preserve">Le traitement automatique des plans 3D repose sur un ensemble de techniques combinant </w:t>
      </w:r>
      <w:r w:rsidRPr="00902EAA">
        <w:t>vision par ordinateur</w:t>
      </w:r>
      <w:r w:rsidRPr="00902EAA">
        <w:rPr>
          <w:lang w:val="fr-FR"/>
        </w:rPr>
        <w:t xml:space="preserve">, </w:t>
      </w:r>
      <w:r w:rsidRPr="00902EAA">
        <w:t>analyse géométrique</w:t>
      </w:r>
      <w:r w:rsidRPr="00902EAA">
        <w:rPr>
          <w:lang w:val="fr-FR"/>
        </w:rPr>
        <w:t xml:space="preserve"> et </w:t>
      </w:r>
      <w:r w:rsidRPr="00902EAA">
        <w:t>apprentissage profond</w:t>
      </w:r>
      <w:r w:rsidRPr="00902EAA">
        <w:rPr>
          <w:lang w:val="fr-FR"/>
        </w:rPr>
        <w:t>. L’objectif principal est d’extraire la structure et la signification du modèle à partir de sa géométrie et de ses métadonnées.</w:t>
      </w:r>
    </w:p>
    <w:p w14:paraId="3E7F99BC" w14:textId="3C57C41F" w:rsidR="00902EAA" w:rsidRPr="00902EAA" w:rsidRDefault="00902EAA" w:rsidP="00902EAA">
      <w:pPr>
        <w:rPr>
          <w:lang w:val="fr-FR"/>
        </w:rPr>
      </w:pPr>
      <w:r w:rsidRPr="00902EAA">
        <w:rPr>
          <w:lang w:val="fr-FR"/>
        </w:rPr>
        <w:t xml:space="preserve">Une première approche consiste à exploiter les </w:t>
      </w:r>
      <w:r w:rsidR="00A77036" w:rsidRPr="00A77036">
        <w:rPr>
          <w:rFonts w:ascii="Arial" w:hAnsi="Arial" w:cs="Arial"/>
          <w:color w:val="001D35"/>
          <w:shd w:val="clear" w:color="auto" w:fill="FFFFFF"/>
          <w:lang w:val="fr-FR"/>
        </w:rPr>
        <w:t>nuée</w:t>
      </w:r>
      <w:r w:rsidR="00A77036">
        <w:rPr>
          <w:rFonts w:ascii="Arial" w:hAnsi="Arial" w:cs="Arial"/>
          <w:color w:val="001D35"/>
          <w:shd w:val="clear" w:color="auto" w:fill="FFFFFF"/>
          <w:lang w:val="fr-FR"/>
        </w:rPr>
        <w:t xml:space="preserve">s </w:t>
      </w:r>
      <w:r w:rsidRPr="00A77036">
        <w:rPr>
          <w:lang w:val="fr-FR"/>
        </w:rPr>
        <w:t>de points</w:t>
      </w:r>
      <w:r w:rsidRPr="00902EAA">
        <w:rPr>
          <w:lang w:val="fr-FR"/>
        </w:rPr>
        <w:t xml:space="preserve"> issus</w:t>
      </w:r>
      <w:r w:rsidRPr="00902EAA">
        <w:rPr>
          <w:lang w:val="fr-FR"/>
        </w:rPr>
        <w:t xml:space="preserve"> de scanners 3D ou de modèles CAO. Ces données permettent de reconstruire les surfaces et volumes des objets présents dans la scène. Des travaux récents, tels que celui de </w:t>
      </w:r>
      <w:r w:rsidRPr="00902EAA">
        <w:t>Qi et al. (2017)</w:t>
      </w:r>
      <w:r w:rsidRPr="00902EAA">
        <w:rPr>
          <w:lang w:val="fr-FR"/>
        </w:rPr>
        <w:t xml:space="preserve"> avec le modèle </w:t>
      </w:r>
      <w:proofErr w:type="spellStart"/>
      <w:r w:rsidRPr="00902EAA">
        <w:t>PointNet</w:t>
      </w:r>
      <w:proofErr w:type="spellEnd"/>
      <w:r w:rsidRPr="00902EAA">
        <w:rPr>
          <w:lang w:val="fr-FR"/>
        </w:rPr>
        <w:t xml:space="preserve">, ont ouvert la voie à des méthodes d’apprentissage profond capables de classifier ou segmenter directement les points d’un nuage sans passer par </w:t>
      </w:r>
      <w:r w:rsidRPr="00902EAA">
        <w:rPr>
          <w:lang w:val="fr-FR"/>
        </w:rPr>
        <w:lastRenderedPageBreak/>
        <w:t xml:space="preserve">une représentation maillée. Ces modèles atteignent des performances élevées en reconnaissance d’objets 3D, avec des précisions supérieures à 85 % sur des jeux de données de référence comme </w:t>
      </w:r>
      <w:proofErr w:type="spellStart"/>
      <w:r w:rsidRPr="00902EAA">
        <w:rPr>
          <w:lang w:val="fr-FR"/>
        </w:rPr>
        <w:t>ShapeNet</w:t>
      </w:r>
      <w:proofErr w:type="spellEnd"/>
      <w:r w:rsidRPr="00902EAA">
        <w:rPr>
          <w:lang w:val="fr-FR"/>
        </w:rPr>
        <w:t>.</w:t>
      </w:r>
    </w:p>
    <w:p w14:paraId="4039A9AD" w14:textId="77777777" w:rsidR="00902EAA" w:rsidRPr="00902EAA" w:rsidRDefault="00902EAA" w:rsidP="00902EAA">
      <w:pPr>
        <w:rPr>
          <w:lang w:val="fr-FR"/>
        </w:rPr>
      </w:pPr>
      <w:r w:rsidRPr="00902EAA">
        <w:rPr>
          <w:lang w:val="fr-FR"/>
        </w:rPr>
        <w:t xml:space="preserve">Dans le domaine du BTP, la </w:t>
      </w:r>
      <w:r w:rsidRPr="00902EAA">
        <w:t>segmentation sémantique de maquettes BIM</w:t>
      </w:r>
      <w:r w:rsidRPr="00902EAA">
        <w:rPr>
          <w:lang w:val="fr-FR"/>
        </w:rPr>
        <w:t xml:space="preserve"> est une tâche clé. L’étude de </w:t>
      </w:r>
      <w:proofErr w:type="spellStart"/>
      <w:r w:rsidRPr="00902EAA">
        <w:t>Arcos</w:t>
      </w:r>
      <w:proofErr w:type="spellEnd"/>
      <w:r w:rsidRPr="00902EAA">
        <w:t>-García et al. (2021)</w:t>
      </w:r>
      <w:r w:rsidRPr="00902EAA">
        <w:rPr>
          <w:lang w:val="fr-FR"/>
        </w:rPr>
        <w:t xml:space="preserve"> montre, par exemple, qu’un réseau de neurones 3D combinant informations géométriques et sémantiques peut identifier automatiquement les éléments structuraux (murs, dalles, colonnes, etc.) avec un F1-score dépassant 90 %. Ces résultats confirment la pertinence des approches de Deep Learning pour l’analyse automatique de modèles complexes.</w:t>
      </w:r>
    </w:p>
    <w:p w14:paraId="7F2F1D4C" w14:textId="77777777" w:rsidR="00902EAA" w:rsidRPr="00902EAA" w:rsidRDefault="00902EAA" w:rsidP="00902EAA">
      <w:pPr>
        <w:rPr>
          <w:lang w:val="fr-FR"/>
        </w:rPr>
      </w:pPr>
      <w:r w:rsidRPr="00902EAA">
        <w:rPr>
          <w:lang w:val="fr-FR"/>
        </w:rPr>
        <w:t>Cependant, plusieurs obstacles subsistent. Les modèles 3D varient énormément en taille, en niveau de détail et en structure, rendant difficile la standardisation des traitements. Les réseaux de neurones 3D nécessitent également des ressources de calcul considérables et des bases de données massivement annotées, encore limitées dans le domaine du BTP. Enfin, la combinaison d’informations géométriques (coordonnées spatiales) et sémantiques (types d’objets, relations) reste un défi méthodologique important.</w:t>
      </w:r>
    </w:p>
    <w:p w14:paraId="4D83E970" w14:textId="77777777" w:rsidR="00902EAA" w:rsidRPr="00902EAA" w:rsidRDefault="00902EAA" w:rsidP="00902EAA">
      <w:pPr>
        <w:rPr>
          <w:lang w:val="fr-FR"/>
        </w:rPr>
      </w:pPr>
      <w:r w:rsidRPr="00902EAA">
        <w:rPr>
          <w:lang w:val="fr-FR"/>
        </w:rPr>
        <w:t>En définitive, si le traitement des plans 3D ouvre la voie à une compréhension approfondie des structures et à une automatisation avancée des processus de conception, il demeure un champ de recherche en plein essor, où la robustesse et la généralisation des méthodes constituent encore des verrous majeurs.</w:t>
      </w:r>
    </w:p>
    <w:p w14:paraId="09F86D83" w14:textId="77777777" w:rsidR="00F17912" w:rsidRPr="00241AC7" w:rsidRDefault="00F17912" w:rsidP="00902EAA">
      <w:pPr>
        <w:rPr>
          <w:lang w:val="fr-FR"/>
        </w:rPr>
      </w:pPr>
    </w:p>
    <w:sectPr w:rsidR="00F17912" w:rsidRPr="00241A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800165"/>
    <w:multiLevelType w:val="multilevel"/>
    <w:tmpl w:val="4E4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7D841594"/>
    <w:multiLevelType w:val="multilevel"/>
    <w:tmpl w:val="E876BE88"/>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num w:numId="1" w16cid:durableId="1568956149">
    <w:abstractNumId w:val="8"/>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 w:numId="9" w16cid:durableId="1794328321">
    <w:abstractNumId w:val="7"/>
  </w:num>
  <w:num w:numId="10" w16cid:durableId="18584958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28"/>
    <w:rsid w:val="00003258"/>
    <w:rsid w:val="000602B8"/>
    <w:rsid w:val="000C1AB6"/>
    <w:rsid w:val="000C7275"/>
    <w:rsid w:val="000D303C"/>
    <w:rsid w:val="000E046A"/>
    <w:rsid w:val="000F2BC2"/>
    <w:rsid w:val="0018395A"/>
    <w:rsid w:val="001A5D44"/>
    <w:rsid w:val="001B78DC"/>
    <w:rsid w:val="00237BF4"/>
    <w:rsid w:val="00241AC7"/>
    <w:rsid w:val="0024588A"/>
    <w:rsid w:val="002B347E"/>
    <w:rsid w:val="002C3A1A"/>
    <w:rsid w:val="002C6653"/>
    <w:rsid w:val="002C7C2E"/>
    <w:rsid w:val="002D7189"/>
    <w:rsid w:val="002E348C"/>
    <w:rsid w:val="002F577C"/>
    <w:rsid w:val="00380011"/>
    <w:rsid w:val="003F4071"/>
    <w:rsid w:val="004116A7"/>
    <w:rsid w:val="0041322F"/>
    <w:rsid w:val="00427CBE"/>
    <w:rsid w:val="00472EF7"/>
    <w:rsid w:val="004B31B9"/>
    <w:rsid w:val="0057106D"/>
    <w:rsid w:val="00575EC9"/>
    <w:rsid w:val="005857E5"/>
    <w:rsid w:val="0059042E"/>
    <w:rsid w:val="005921BA"/>
    <w:rsid w:val="005B06FA"/>
    <w:rsid w:val="005B3ED6"/>
    <w:rsid w:val="005C1B11"/>
    <w:rsid w:val="005E0F40"/>
    <w:rsid w:val="00606DA0"/>
    <w:rsid w:val="00611B91"/>
    <w:rsid w:val="00613567"/>
    <w:rsid w:val="006F4820"/>
    <w:rsid w:val="007004CB"/>
    <w:rsid w:val="00705F70"/>
    <w:rsid w:val="007C763E"/>
    <w:rsid w:val="007D5902"/>
    <w:rsid w:val="007F59D5"/>
    <w:rsid w:val="00800566"/>
    <w:rsid w:val="00846DE3"/>
    <w:rsid w:val="008C778C"/>
    <w:rsid w:val="008D4D1F"/>
    <w:rsid w:val="008D626B"/>
    <w:rsid w:val="008F1D6E"/>
    <w:rsid w:val="00902EAA"/>
    <w:rsid w:val="0094359F"/>
    <w:rsid w:val="009508AA"/>
    <w:rsid w:val="00967151"/>
    <w:rsid w:val="009735CA"/>
    <w:rsid w:val="009752EF"/>
    <w:rsid w:val="009826F1"/>
    <w:rsid w:val="009E3BBD"/>
    <w:rsid w:val="00A25728"/>
    <w:rsid w:val="00A547E6"/>
    <w:rsid w:val="00A615BC"/>
    <w:rsid w:val="00A77036"/>
    <w:rsid w:val="00AB721A"/>
    <w:rsid w:val="00B57EA7"/>
    <w:rsid w:val="00B6078F"/>
    <w:rsid w:val="00B8179C"/>
    <w:rsid w:val="00B84096"/>
    <w:rsid w:val="00B9705C"/>
    <w:rsid w:val="00BA18D3"/>
    <w:rsid w:val="00BF39D4"/>
    <w:rsid w:val="00BF407A"/>
    <w:rsid w:val="00CB79EC"/>
    <w:rsid w:val="00CC5B4E"/>
    <w:rsid w:val="00CC75CA"/>
    <w:rsid w:val="00D12DD8"/>
    <w:rsid w:val="00D149A6"/>
    <w:rsid w:val="00DA5A03"/>
    <w:rsid w:val="00E360A4"/>
    <w:rsid w:val="00E5718C"/>
    <w:rsid w:val="00E62809"/>
    <w:rsid w:val="00E70C34"/>
    <w:rsid w:val="00E77EC3"/>
    <w:rsid w:val="00E84B8B"/>
    <w:rsid w:val="00EE17CA"/>
    <w:rsid w:val="00EE7AB1"/>
    <w:rsid w:val="00F17912"/>
    <w:rsid w:val="00F3308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unhideWhenUsed/>
    <w:qFormat/>
    <w:rsid w:val="00902EAA"/>
    <w:pPr>
      <w:keepNext/>
      <w:keepLines/>
      <w:spacing w:before="160" w:after="80"/>
      <w:outlineLvl w:val="2"/>
    </w:pPr>
    <w:rPr>
      <w:rFonts w:eastAsiaTheme="majorEastAsia" w:cstheme="majorBidi"/>
      <w:color w:val="000000" w:themeColor="text1"/>
      <w:szCs w:val="28"/>
      <w:u w:val="single"/>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rsid w:val="00902EAA"/>
    <w:rPr>
      <w:rFonts w:eastAsiaTheme="majorEastAsia" w:cstheme="majorBidi"/>
      <w:color w:val="000000" w:themeColor="text1"/>
      <w:szCs w:val="28"/>
      <w:u w:val="single"/>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032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2037</TotalTime>
  <Pages>4</Pages>
  <Words>1494</Words>
  <Characters>8219</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33</cp:revision>
  <dcterms:created xsi:type="dcterms:W3CDTF">2025-09-09T07:26:00Z</dcterms:created>
  <dcterms:modified xsi:type="dcterms:W3CDTF">2025-10-06T14:06:00Z</dcterms:modified>
</cp:coreProperties>
</file>