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FE022" w14:textId="60D6B9F8" w:rsidR="00A63A42" w:rsidRDefault="00FB57EC">
      <w:proofErr w:type="spellStart"/>
      <w:r>
        <w:t>L’alignement</w:t>
      </w:r>
      <w:proofErr w:type="spellEnd"/>
      <w:r>
        <w:t>:</w:t>
      </w:r>
    </w:p>
    <w:p w14:paraId="5758C0C8" w14:textId="686352C1" w:rsidR="00E33661" w:rsidRDefault="00E33661">
      <w:r w:rsidRPr="005A1A02">
        <w:t xml:space="preserve">Le data </w:t>
      </w:r>
      <w:proofErr w:type="spellStart"/>
      <w:r w:rsidRPr="005A1A02">
        <w:t>alignement</w:t>
      </w:r>
      <w:proofErr w:type="spellEnd"/>
      <w:r w:rsidRPr="005A1A02">
        <w:t xml:space="preserve"> va </w:t>
      </w:r>
      <w:r w:rsidR="005A1A02" w:rsidRPr="005A1A02">
        <w:t xml:space="preserve">a </w:t>
      </w:r>
      <w:r w:rsidRPr="005A1A02">
        <w:t xml:space="preserve">servir à </w:t>
      </w:r>
      <w:proofErr w:type="spellStart"/>
      <w:r w:rsidRPr="005A1A02">
        <w:t>identifier</w:t>
      </w:r>
      <w:proofErr w:type="spellEnd"/>
      <w:r w:rsidRPr="005A1A02">
        <w:t xml:space="preserve"> et </w:t>
      </w:r>
      <w:proofErr w:type="spellStart"/>
      <w:r w:rsidRPr="005A1A02">
        <w:t>établir</w:t>
      </w:r>
      <w:proofErr w:type="spellEnd"/>
      <w:r w:rsidRPr="005A1A02">
        <w:t xml:space="preserve"> la </w:t>
      </w:r>
      <w:proofErr w:type="spellStart"/>
      <w:r w:rsidRPr="005A1A02">
        <w:t>correspondance</w:t>
      </w:r>
      <w:proofErr w:type="spellEnd"/>
      <w:r w:rsidRPr="005A1A02">
        <w:t xml:space="preserve"> entre les </w:t>
      </w:r>
      <w:proofErr w:type="spellStart"/>
      <w:r w:rsidRPr="005A1A02">
        <w:t>éléments</w:t>
      </w:r>
      <w:proofErr w:type="spellEnd"/>
      <w:r w:rsidRPr="005A1A02">
        <w:t xml:space="preserve"> de </w:t>
      </w:r>
      <w:proofErr w:type="spellStart"/>
      <w:r w:rsidRPr="005A1A02">
        <w:t>différentes</w:t>
      </w:r>
      <w:proofErr w:type="spellEnd"/>
      <w:r w:rsidRPr="005A1A02">
        <w:t xml:space="preserve"> </w:t>
      </w:r>
      <w:proofErr w:type="spellStart"/>
      <w:r w:rsidRPr="005A1A02">
        <w:t>modalités</w:t>
      </w:r>
      <w:proofErr w:type="spellEnd"/>
      <w:r w:rsidRPr="005A1A02">
        <w:t xml:space="preserve">, en les </w:t>
      </w:r>
      <w:proofErr w:type="spellStart"/>
      <w:r w:rsidRPr="005A1A02">
        <w:t>alignant</w:t>
      </w:r>
      <w:proofErr w:type="spellEnd"/>
      <w:r w:rsidRPr="005A1A02">
        <w:t xml:space="preserve"> </w:t>
      </w:r>
      <w:proofErr w:type="spellStart"/>
      <w:r w:rsidRPr="005A1A02">
        <w:t>dans</w:t>
      </w:r>
      <w:proofErr w:type="spellEnd"/>
      <w:r w:rsidRPr="005A1A02">
        <w:t xml:space="preserve"> le </w:t>
      </w:r>
      <w:proofErr w:type="spellStart"/>
      <w:r w:rsidRPr="005A1A02">
        <w:t>temps</w:t>
      </w:r>
      <w:proofErr w:type="spellEnd"/>
      <w:r w:rsidRPr="005A1A02">
        <w:t xml:space="preserve"> et/</w:t>
      </w:r>
      <w:proofErr w:type="spellStart"/>
      <w:r w:rsidRPr="005A1A02">
        <w:t>ou</w:t>
      </w:r>
      <w:proofErr w:type="spellEnd"/>
      <w:r w:rsidRPr="005A1A02">
        <w:t xml:space="preserve"> </w:t>
      </w:r>
      <w:proofErr w:type="spellStart"/>
      <w:r w:rsidRPr="005A1A02">
        <w:t>dans</w:t>
      </w:r>
      <w:proofErr w:type="spellEnd"/>
      <w:r w:rsidRPr="005A1A02">
        <w:t xml:space="preserve"> </w:t>
      </w:r>
      <w:proofErr w:type="spellStart"/>
      <w:r w:rsidRPr="005A1A02">
        <w:t>l’espace</w:t>
      </w:r>
      <w:proofErr w:type="spellEnd"/>
      <w:r w:rsidRPr="005A1A02">
        <w:t xml:space="preserve"> </w:t>
      </w:r>
      <w:proofErr w:type="spellStart"/>
      <w:r w:rsidRPr="005A1A02">
        <w:t>afin</w:t>
      </w:r>
      <w:proofErr w:type="spellEnd"/>
      <w:r w:rsidRPr="005A1A02">
        <w:t xml:space="preserve"> de </w:t>
      </w:r>
      <w:proofErr w:type="spellStart"/>
      <w:r w:rsidRPr="005A1A02">
        <w:t>permettre</w:t>
      </w:r>
      <w:proofErr w:type="spellEnd"/>
      <w:r w:rsidRPr="005A1A02">
        <w:t xml:space="preserve"> un</w:t>
      </w:r>
      <w:r w:rsidR="005A1A02" w:rsidRPr="005A1A02">
        <w:t xml:space="preserve"> </w:t>
      </w:r>
      <w:proofErr w:type="spellStart"/>
      <w:r w:rsidR="005A1A02" w:rsidRPr="005A1A02">
        <w:t>partage</w:t>
      </w:r>
      <w:proofErr w:type="spellEnd"/>
      <w:r w:rsidR="005A1A02" w:rsidRPr="005A1A02">
        <w:t xml:space="preserve"> </w:t>
      </w:r>
      <w:proofErr w:type="spellStart"/>
      <w:r w:rsidRPr="005A1A02">
        <w:t>cohérente</w:t>
      </w:r>
      <w:proofErr w:type="spellEnd"/>
      <w:r w:rsidRPr="005A1A02">
        <w:t xml:space="preserve"> de </w:t>
      </w:r>
      <w:proofErr w:type="spellStart"/>
      <w:r w:rsidRPr="005A1A02">
        <w:t>l’information</w:t>
      </w:r>
      <w:proofErr w:type="spellEnd"/>
      <w:r w:rsidRPr="005A1A02">
        <w:t xml:space="preserve"> entre ces </w:t>
      </w:r>
      <w:proofErr w:type="spellStart"/>
      <w:r w:rsidRPr="005A1A02">
        <w:t>modalités</w:t>
      </w:r>
      <w:proofErr w:type="spellEnd"/>
      <w:r w:rsidRPr="005A1A02">
        <w:t xml:space="preserve">. </w:t>
      </w:r>
    </w:p>
    <w:p w14:paraId="579C2C0C" w14:textId="77777777" w:rsidR="005A1A02" w:rsidRPr="005A1A02" w:rsidRDefault="005A1A02"/>
    <w:p w14:paraId="749D4F8D" w14:textId="493E8937" w:rsidR="005A1A02" w:rsidRPr="005A1A02" w:rsidRDefault="005A1A02">
      <w:r w:rsidRPr="005A1A02">
        <w:t xml:space="preserve">Le </w:t>
      </w:r>
      <w:r w:rsidRPr="005A1A02">
        <w:rPr>
          <w:i/>
          <w:iCs/>
        </w:rPr>
        <w:t xml:space="preserve">data </w:t>
      </w:r>
      <w:proofErr w:type="spellStart"/>
      <w:r w:rsidRPr="005A1A02">
        <w:rPr>
          <w:i/>
          <w:iCs/>
        </w:rPr>
        <w:t>alignment</w:t>
      </w:r>
      <w:proofErr w:type="spellEnd"/>
      <w:r w:rsidRPr="005A1A02">
        <w:t xml:space="preserve"> consiste à </w:t>
      </w:r>
      <w:proofErr w:type="spellStart"/>
      <w:r w:rsidRPr="005A1A02">
        <w:t>identifier</w:t>
      </w:r>
      <w:proofErr w:type="spellEnd"/>
      <w:r w:rsidRPr="005A1A02">
        <w:t xml:space="preserve"> et </w:t>
      </w:r>
      <w:proofErr w:type="spellStart"/>
      <w:r w:rsidRPr="005A1A02">
        <w:t>établir</w:t>
      </w:r>
      <w:proofErr w:type="spellEnd"/>
      <w:r w:rsidRPr="005A1A02">
        <w:t xml:space="preserve"> des </w:t>
      </w:r>
      <w:proofErr w:type="spellStart"/>
      <w:r w:rsidRPr="005A1A02">
        <w:t>correspondances</w:t>
      </w:r>
      <w:proofErr w:type="spellEnd"/>
      <w:r w:rsidRPr="005A1A02">
        <w:t xml:space="preserve"> entre des </w:t>
      </w:r>
      <w:proofErr w:type="spellStart"/>
      <w:r w:rsidRPr="005A1A02">
        <w:t>éléments</w:t>
      </w:r>
      <w:proofErr w:type="spellEnd"/>
      <w:r w:rsidRPr="005A1A02">
        <w:t xml:space="preserve"> </w:t>
      </w:r>
      <w:proofErr w:type="spellStart"/>
      <w:r w:rsidRPr="005A1A02">
        <w:t>issus</w:t>
      </w:r>
      <w:proofErr w:type="spellEnd"/>
      <w:r w:rsidRPr="005A1A02">
        <w:t xml:space="preserve"> de </w:t>
      </w:r>
      <w:proofErr w:type="spellStart"/>
      <w:r w:rsidRPr="005A1A02">
        <w:t>différentes</w:t>
      </w:r>
      <w:proofErr w:type="spellEnd"/>
      <w:r w:rsidRPr="005A1A02">
        <w:t xml:space="preserve"> </w:t>
      </w:r>
      <w:proofErr w:type="spellStart"/>
      <w:r w:rsidRPr="005A1A02">
        <w:t>modalités</w:t>
      </w:r>
      <w:proofErr w:type="spellEnd"/>
      <w:r w:rsidRPr="005A1A02">
        <w:t xml:space="preserve">. </w:t>
      </w:r>
      <w:proofErr w:type="spellStart"/>
      <w:r w:rsidRPr="005A1A02">
        <w:t>Il</w:t>
      </w:r>
      <w:proofErr w:type="spellEnd"/>
      <w:r w:rsidRPr="005A1A02">
        <w:t xml:space="preserve"> vise à </w:t>
      </w:r>
      <w:proofErr w:type="spellStart"/>
      <w:r w:rsidRPr="005A1A02">
        <w:t>aligner</w:t>
      </w:r>
      <w:proofErr w:type="spellEnd"/>
      <w:r w:rsidRPr="005A1A02">
        <w:t xml:space="preserve"> ces </w:t>
      </w:r>
      <w:proofErr w:type="spellStart"/>
      <w:r w:rsidRPr="005A1A02">
        <w:t>informations</w:t>
      </w:r>
      <w:proofErr w:type="spellEnd"/>
      <w:r w:rsidRPr="005A1A02">
        <w:t xml:space="preserve"> </w:t>
      </w:r>
      <w:proofErr w:type="spellStart"/>
      <w:r w:rsidRPr="005A1A02">
        <w:t>dans</w:t>
      </w:r>
      <w:proofErr w:type="spellEnd"/>
      <w:r w:rsidRPr="005A1A02">
        <w:t xml:space="preserve"> le </w:t>
      </w:r>
      <w:proofErr w:type="spellStart"/>
      <w:r w:rsidRPr="005A1A02">
        <w:t>temps</w:t>
      </w:r>
      <w:proofErr w:type="spellEnd"/>
      <w:r w:rsidRPr="005A1A02">
        <w:t xml:space="preserve"> et</w:t>
      </w:r>
      <w:r>
        <w:t xml:space="preserve"> </w:t>
      </w:r>
      <w:proofErr w:type="spellStart"/>
      <w:r w:rsidRPr="005A1A02">
        <w:t>ou</w:t>
      </w:r>
      <w:proofErr w:type="spellEnd"/>
      <w:r w:rsidRPr="005A1A02">
        <w:t xml:space="preserve"> </w:t>
      </w:r>
      <w:proofErr w:type="spellStart"/>
      <w:r w:rsidRPr="005A1A02">
        <w:t>dans</w:t>
      </w:r>
      <w:proofErr w:type="spellEnd"/>
      <w:r w:rsidRPr="005A1A02">
        <w:t xml:space="preserve"> </w:t>
      </w:r>
      <w:proofErr w:type="spellStart"/>
      <w:r w:rsidRPr="005A1A02">
        <w:t>l’espace</w:t>
      </w:r>
      <w:proofErr w:type="spellEnd"/>
      <w:r w:rsidRPr="005A1A02">
        <w:t xml:space="preserve">, </w:t>
      </w:r>
      <w:proofErr w:type="spellStart"/>
      <w:r w:rsidRPr="005A1A02">
        <w:t>afin</w:t>
      </w:r>
      <w:proofErr w:type="spellEnd"/>
      <w:r w:rsidRPr="005A1A02">
        <w:t xml:space="preserve"> de garantir une mise en </w:t>
      </w:r>
      <w:proofErr w:type="spellStart"/>
      <w:r w:rsidRPr="005A1A02">
        <w:t>relation</w:t>
      </w:r>
      <w:proofErr w:type="spellEnd"/>
      <w:r w:rsidRPr="005A1A02">
        <w:t xml:space="preserve"> </w:t>
      </w:r>
      <w:proofErr w:type="spellStart"/>
      <w:r w:rsidRPr="005A1A02">
        <w:t>cohérente</w:t>
      </w:r>
      <w:proofErr w:type="spellEnd"/>
      <w:r w:rsidRPr="005A1A02">
        <w:t xml:space="preserve"> et un </w:t>
      </w:r>
      <w:proofErr w:type="spellStart"/>
      <w:r w:rsidRPr="005A1A02">
        <w:t>partage</w:t>
      </w:r>
      <w:proofErr w:type="spellEnd"/>
      <w:r w:rsidRPr="005A1A02">
        <w:t xml:space="preserve"> </w:t>
      </w:r>
      <w:proofErr w:type="spellStart"/>
      <w:r w:rsidRPr="005A1A02">
        <w:t>pertinent</w:t>
      </w:r>
      <w:proofErr w:type="spellEnd"/>
      <w:r w:rsidRPr="005A1A02">
        <w:t xml:space="preserve"> de </w:t>
      </w:r>
      <w:proofErr w:type="spellStart"/>
      <w:r w:rsidRPr="005A1A02">
        <w:t>l’information</w:t>
      </w:r>
      <w:proofErr w:type="spellEnd"/>
      <w:r w:rsidRPr="005A1A02">
        <w:t xml:space="preserve"> entre les </w:t>
      </w:r>
      <w:proofErr w:type="spellStart"/>
      <w:r w:rsidRPr="005A1A02">
        <w:t>modalités</w:t>
      </w:r>
      <w:proofErr w:type="spellEnd"/>
      <w:r w:rsidRPr="005A1A02">
        <w:t>.</w:t>
      </w:r>
    </w:p>
    <w:p w14:paraId="028091E4" w14:textId="466418A8" w:rsidR="00FB57EC" w:rsidRDefault="00FB57EC">
      <w:pPr>
        <w:rPr>
          <w:lang w:val="fr-FR"/>
        </w:rPr>
      </w:pPr>
      <w:r w:rsidRPr="00FB57EC">
        <w:rPr>
          <w:lang w:val="fr-FR"/>
        </w:rPr>
        <w:t>Va servir à trouver les c</w:t>
      </w:r>
      <w:r>
        <w:rPr>
          <w:lang w:val="fr-FR"/>
        </w:rPr>
        <w:t xml:space="preserve">orrespondances entre les modalités. </w:t>
      </w:r>
    </w:p>
    <w:p w14:paraId="5B51D7D2" w14:textId="1E02B1C7" w:rsidR="00FB57EC" w:rsidRDefault="00FB57EC">
      <w:pPr>
        <w:rPr>
          <w:lang w:val="fr-FR"/>
        </w:rPr>
      </w:pPr>
      <w:r>
        <w:rPr>
          <w:lang w:val="fr-FR"/>
        </w:rPr>
        <w:t>Methods utilisé</w:t>
      </w:r>
      <w:r w:rsidR="00E33661">
        <w:rPr>
          <w:lang w:val="fr-FR"/>
        </w:rPr>
        <w:t xml:space="preserve"> : </w:t>
      </w:r>
    </w:p>
    <w:p w14:paraId="61669DC8" w14:textId="77777777" w:rsidR="0099106E" w:rsidRDefault="0099106E">
      <w:pPr>
        <w:rPr>
          <w:lang w:val="fr-FR"/>
        </w:rPr>
      </w:pPr>
    </w:p>
    <w:p w14:paraId="7F0101B7" w14:textId="6139F29B" w:rsidR="0099106E" w:rsidRPr="0099106E" w:rsidRDefault="0099106E" w:rsidP="0099106E">
      <w:pPr>
        <w:pStyle w:val="Titre1"/>
        <w:rPr>
          <w:rFonts w:eastAsiaTheme="minorHAnsi"/>
          <w:lang w:val="fr-FR"/>
        </w:rPr>
      </w:pPr>
      <w:r>
        <w:rPr>
          <w:lang w:val="fr-FR"/>
        </w:rPr>
        <w:br/>
      </w:r>
      <w:r w:rsidRPr="0099106E">
        <w:rPr>
          <w:rFonts w:eastAsiaTheme="minorHAnsi"/>
          <w:lang w:val="fr-FR"/>
        </w:rPr>
        <w:t>Forces (avantages) de l’alignement multimodal</w:t>
      </w:r>
    </w:p>
    <w:p w14:paraId="64ABC197" w14:textId="77777777" w:rsidR="0099106E" w:rsidRPr="0099106E" w:rsidRDefault="0099106E" w:rsidP="0099106E">
      <w:pPr>
        <w:rPr>
          <w:lang w:val="fr-FR"/>
        </w:rPr>
      </w:pPr>
      <w:r w:rsidRPr="0099106E">
        <w:rPr>
          <w:lang w:val="fr-FR"/>
        </w:rPr>
        <w:t>1) Améliore la cohérence entre modalités</w:t>
      </w:r>
    </w:p>
    <w:p w14:paraId="2C2E9E4A" w14:textId="77777777" w:rsidR="0099106E" w:rsidRPr="0099106E" w:rsidRDefault="0099106E" w:rsidP="0099106E">
      <w:pPr>
        <w:rPr>
          <w:lang w:val="fr-FR"/>
        </w:rPr>
      </w:pPr>
      <w:r w:rsidRPr="0099106E">
        <w:rPr>
          <w:lang w:val="fr-FR"/>
        </w:rPr>
        <w:t xml:space="preserve">L’alignement permet de relier directement des sous-éléments de deux modalités (mots ↔ régions d’image, phrases ↔ frames vidéo, etc.), ce qui rend l’information plus exploitable et cohérente pour le modèle. </w:t>
      </w:r>
    </w:p>
    <w:p w14:paraId="1B8AD3EC" w14:textId="77777777" w:rsidR="0099106E" w:rsidRPr="0099106E" w:rsidRDefault="0099106E" w:rsidP="0099106E">
      <w:pPr>
        <w:rPr>
          <w:lang w:val="fr-FR"/>
        </w:rPr>
      </w:pPr>
      <w:r w:rsidRPr="0099106E">
        <w:rPr>
          <w:lang w:val="fr-FR"/>
        </w:rPr>
        <w:t>2) Renforce les performances des tâches aval</w:t>
      </w:r>
    </w:p>
    <w:p w14:paraId="37F0CD7E" w14:textId="77777777" w:rsidR="0099106E" w:rsidRPr="0099106E" w:rsidRDefault="0099106E" w:rsidP="0099106E">
      <w:pPr>
        <w:rPr>
          <w:lang w:val="fr-FR"/>
        </w:rPr>
      </w:pPr>
      <w:r w:rsidRPr="0099106E">
        <w:rPr>
          <w:lang w:val="fr-FR"/>
        </w:rPr>
        <w:t xml:space="preserve">L’article </w:t>
      </w:r>
      <w:r w:rsidRPr="0099106E">
        <w:rPr>
          <w:i/>
          <w:iCs/>
          <w:lang w:val="fr-FR"/>
        </w:rPr>
        <w:t>Multimodal Machine Learning</w:t>
      </w:r>
      <w:r w:rsidRPr="0099106E">
        <w:rPr>
          <w:lang w:val="fr-FR"/>
        </w:rPr>
        <w:t xml:space="preserve"> explique que l’alignement (souvent implicite) sert de mécanisme intermédiaire qui améliore plusieurs tâches comme la traduction multimodale, la description média, la reconnaissance vocale, ou le </w:t>
      </w:r>
      <w:proofErr w:type="spellStart"/>
      <w:r w:rsidRPr="0099106E">
        <w:rPr>
          <w:lang w:val="fr-FR"/>
        </w:rPr>
        <w:t>visual</w:t>
      </w:r>
      <w:proofErr w:type="spellEnd"/>
      <w:r w:rsidRPr="0099106E">
        <w:rPr>
          <w:lang w:val="fr-FR"/>
        </w:rPr>
        <w:t xml:space="preserve"> question </w:t>
      </w:r>
      <w:proofErr w:type="spellStart"/>
      <w:r w:rsidRPr="0099106E">
        <w:rPr>
          <w:lang w:val="fr-FR"/>
        </w:rPr>
        <w:t>answering</w:t>
      </w:r>
      <w:proofErr w:type="spellEnd"/>
      <w:r w:rsidRPr="0099106E">
        <w:rPr>
          <w:lang w:val="fr-FR"/>
        </w:rPr>
        <w:t xml:space="preserve"> (VQA). </w:t>
      </w:r>
    </w:p>
    <w:p w14:paraId="02F5FE3F" w14:textId="77777777" w:rsidR="0099106E" w:rsidRPr="0099106E" w:rsidRDefault="0099106E" w:rsidP="0099106E">
      <w:pPr>
        <w:rPr>
          <w:lang w:val="fr-FR"/>
        </w:rPr>
      </w:pPr>
      <w:r w:rsidRPr="0099106E">
        <w:rPr>
          <w:lang w:val="fr-FR"/>
        </w:rPr>
        <w:t>3) Rend possible l’exploitation de l’attention (alignement implicite efficace)</w:t>
      </w:r>
    </w:p>
    <w:p w14:paraId="32275994" w14:textId="77777777" w:rsidR="0099106E" w:rsidRPr="0099106E" w:rsidRDefault="0099106E" w:rsidP="0099106E">
      <w:pPr>
        <w:rPr>
          <w:lang w:val="fr-FR"/>
        </w:rPr>
      </w:pPr>
      <w:r w:rsidRPr="0099106E">
        <w:rPr>
          <w:lang w:val="fr-FR"/>
        </w:rPr>
        <w:t xml:space="preserve">Avec les mécanismes d’attention, le modèle apprend à se concentrer sur les bonnes parties (régions, mots, frames), au lieu de résumer toute la modalité dans un seul vecteur, ce qui améliore la qualité des résultats. </w:t>
      </w:r>
    </w:p>
    <w:p w14:paraId="7F142862" w14:textId="77777777" w:rsidR="0099106E" w:rsidRPr="0099106E" w:rsidRDefault="0099106E" w:rsidP="0099106E">
      <w:pPr>
        <w:rPr>
          <w:lang w:val="fr-FR"/>
        </w:rPr>
      </w:pPr>
      <w:r w:rsidRPr="0099106E">
        <w:rPr>
          <w:lang w:val="fr-FR"/>
        </w:rPr>
        <w:t>4) Permet d’imposer des contraintes utiles (cohérence temporelle)</w:t>
      </w:r>
    </w:p>
    <w:p w14:paraId="435E424B" w14:textId="77777777" w:rsidR="0099106E" w:rsidRPr="0099106E" w:rsidRDefault="0099106E" w:rsidP="0099106E">
      <w:pPr>
        <w:rPr>
          <w:lang w:val="fr-FR"/>
        </w:rPr>
      </w:pPr>
      <w:r w:rsidRPr="0099106E">
        <w:rPr>
          <w:lang w:val="fr-FR"/>
        </w:rPr>
        <w:t xml:space="preserve">Pour des séquences (audio–vidéo, vidéo–texte), des méthodes explicites comme DTW ou certains modèles graphiques permettent d’appliquer des contraintes (monotonie, pas de “sauts” temporels, cohérence), ce qui peut rendre l’alignement plus robuste. </w:t>
      </w:r>
    </w:p>
    <w:p w14:paraId="41383C2E" w14:textId="77777777" w:rsidR="0099106E" w:rsidRPr="0099106E" w:rsidRDefault="0099106E" w:rsidP="0099106E">
      <w:pPr>
        <w:rPr>
          <w:lang w:val="fr-FR"/>
        </w:rPr>
      </w:pPr>
      <w:r w:rsidRPr="0099106E">
        <w:rPr>
          <w:lang w:val="fr-FR"/>
        </w:rPr>
        <w:t>5) Contribue à limiter le bruit dans la fusion</w:t>
      </w:r>
    </w:p>
    <w:p w14:paraId="256988E7" w14:textId="77777777" w:rsidR="0099106E" w:rsidRPr="0099106E" w:rsidRDefault="0099106E" w:rsidP="0099106E">
      <w:pPr>
        <w:rPr>
          <w:lang w:val="fr-FR"/>
        </w:rPr>
      </w:pPr>
      <w:r w:rsidRPr="0099106E">
        <w:rPr>
          <w:lang w:val="fr-FR"/>
        </w:rPr>
        <w:lastRenderedPageBreak/>
        <w:t xml:space="preserve">Le </w:t>
      </w:r>
      <w:proofErr w:type="spellStart"/>
      <w:r w:rsidRPr="0099106E">
        <w:rPr>
          <w:lang w:val="fr-FR"/>
        </w:rPr>
        <w:t>survey</w:t>
      </w:r>
      <w:proofErr w:type="spellEnd"/>
      <w:r w:rsidRPr="0099106E">
        <w:rPr>
          <w:lang w:val="fr-FR"/>
        </w:rPr>
        <w:t xml:space="preserve"> sur la fusion multimodale indique que des alignements efficaces peuvent aider à réduire le bruit externe introduit pendant la fusion et donc éviter une dégradation des performances. </w:t>
      </w:r>
    </w:p>
    <w:p w14:paraId="472254FC" w14:textId="77777777" w:rsidR="0099106E" w:rsidRPr="0099106E" w:rsidRDefault="0099106E" w:rsidP="0099106E">
      <w:pPr>
        <w:rPr>
          <w:lang w:val="fr-FR"/>
        </w:rPr>
      </w:pPr>
      <w:r w:rsidRPr="0099106E">
        <w:rPr>
          <w:lang w:val="fr-FR"/>
        </w:rPr>
        <w:pict w14:anchorId="12025845">
          <v:rect id="_x0000_i1025" style="width:0;height:1.5pt" o:hralign="center" o:hrstd="t" o:hr="t" fillcolor="#a0a0a0" stroked="f"/>
        </w:pict>
      </w:r>
    </w:p>
    <w:p w14:paraId="0B2333E6" w14:textId="77777777" w:rsidR="0099106E" w:rsidRPr="0099106E" w:rsidRDefault="0099106E" w:rsidP="0099106E">
      <w:pPr>
        <w:pStyle w:val="Titre1"/>
        <w:rPr>
          <w:lang w:val="fr-FR"/>
        </w:rPr>
      </w:pPr>
      <w:r w:rsidRPr="0099106E">
        <w:rPr>
          <w:lang w:val="fr-FR"/>
        </w:rPr>
        <w:t>Faiblesses (limites) de l’alignement multimodal</w:t>
      </w:r>
    </w:p>
    <w:p w14:paraId="608AA4B1" w14:textId="77777777" w:rsidR="0099106E" w:rsidRPr="0099106E" w:rsidRDefault="0099106E" w:rsidP="0099106E">
      <w:pPr>
        <w:rPr>
          <w:b/>
          <w:bCs/>
          <w:lang w:val="fr-FR"/>
        </w:rPr>
      </w:pPr>
      <w:r w:rsidRPr="0099106E">
        <w:rPr>
          <w:b/>
          <w:bCs/>
          <w:lang w:val="fr-FR"/>
        </w:rPr>
        <w:t>1) Peu de données annotées “alignées”</w:t>
      </w:r>
    </w:p>
    <w:p w14:paraId="41DD0599" w14:textId="77777777" w:rsidR="0099106E" w:rsidRPr="0099106E" w:rsidRDefault="0099106E" w:rsidP="0099106E">
      <w:pPr>
        <w:rPr>
          <w:lang w:val="fr-FR"/>
        </w:rPr>
      </w:pPr>
      <w:r w:rsidRPr="0099106E">
        <w:rPr>
          <w:lang w:val="fr-FR"/>
        </w:rPr>
        <w:t xml:space="preserve">Un problème majeur est le </w:t>
      </w:r>
      <w:r w:rsidRPr="0099106E">
        <w:rPr>
          <w:b/>
          <w:bCs/>
          <w:lang w:val="fr-FR"/>
        </w:rPr>
        <w:t xml:space="preserve">manque de </w:t>
      </w:r>
      <w:proofErr w:type="spellStart"/>
      <w:r w:rsidRPr="0099106E">
        <w:rPr>
          <w:b/>
          <w:bCs/>
          <w:lang w:val="fr-FR"/>
        </w:rPr>
        <w:t>datasets</w:t>
      </w:r>
      <w:proofErr w:type="spellEnd"/>
      <w:r w:rsidRPr="0099106E">
        <w:rPr>
          <w:b/>
          <w:bCs/>
          <w:lang w:val="fr-FR"/>
        </w:rPr>
        <w:t xml:space="preserve"> avec alignements explicites</w:t>
      </w:r>
      <w:r w:rsidRPr="0099106E">
        <w:rPr>
          <w:lang w:val="fr-FR"/>
        </w:rPr>
        <w:t xml:space="preserve"> (ex. mot ↔ région, segment ↔ segment), ce qui limite les approches supervisées et rend l’évaluation plus difficile. </w:t>
      </w:r>
    </w:p>
    <w:p w14:paraId="658131A9" w14:textId="77777777" w:rsidR="0099106E" w:rsidRPr="0099106E" w:rsidRDefault="0099106E" w:rsidP="0099106E">
      <w:pPr>
        <w:rPr>
          <w:b/>
          <w:bCs/>
          <w:lang w:val="fr-FR"/>
        </w:rPr>
      </w:pPr>
      <w:r w:rsidRPr="0099106E">
        <w:rPr>
          <w:b/>
          <w:bCs/>
          <w:lang w:val="fr-FR"/>
        </w:rPr>
        <w:t>2) Difficile de définir une bonne mesure de similarité</w:t>
      </w:r>
    </w:p>
    <w:p w14:paraId="285B1F8D" w14:textId="77777777" w:rsidR="0099106E" w:rsidRPr="0099106E" w:rsidRDefault="0099106E" w:rsidP="0099106E">
      <w:pPr>
        <w:rPr>
          <w:lang w:val="fr-FR"/>
        </w:rPr>
      </w:pPr>
      <w:r w:rsidRPr="0099106E">
        <w:rPr>
          <w:lang w:val="fr-FR"/>
        </w:rPr>
        <w:t xml:space="preserve">L’alignement explicite dépend fortement d’une </w:t>
      </w:r>
      <w:r w:rsidRPr="0099106E">
        <w:rPr>
          <w:b/>
          <w:bCs/>
          <w:lang w:val="fr-FR"/>
        </w:rPr>
        <w:t>métrique de similarité entre modalités</w:t>
      </w:r>
      <w:r w:rsidRPr="0099106E">
        <w:rPr>
          <w:lang w:val="fr-FR"/>
        </w:rPr>
        <w:t xml:space="preserve">, qui peut être difficile à concevoir (ou à apprendre) de manière fiable. </w:t>
      </w:r>
    </w:p>
    <w:p w14:paraId="2D5B03C0" w14:textId="77777777" w:rsidR="0099106E" w:rsidRPr="0099106E" w:rsidRDefault="0099106E" w:rsidP="0099106E">
      <w:pPr>
        <w:rPr>
          <w:b/>
          <w:bCs/>
          <w:lang w:val="fr-FR"/>
        </w:rPr>
      </w:pPr>
      <w:r w:rsidRPr="0099106E">
        <w:rPr>
          <w:b/>
          <w:bCs/>
          <w:lang w:val="fr-FR"/>
        </w:rPr>
        <w:t>3) Ambiguïtés : plusieurs alignements possibles, ou parfois aucun</w:t>
      </w:r>
    </w:p>
    <w:p w14:paraId="17ABB372" w14:textId="77777777" w:rsidR="0099106E" w:rsidRPr="0099106E" w:rsidRDefault="0099106E" w:rsidP="0099106E">
      <w:pPr>
        <w:rPr>
          <w:lang w:val="fr-FR"/>
        </w:rPr>
      </w:pPr>
      <w:r w:rsidRPr="0099106E">
        <w:rPr>
          <w:lang w:val="fr-FR"/>
        </w:rPr>
        <w:t xml:space="preserve">Le même contenu peut avoir </w:t>
      </w:r>
      <w:r w:rsidRPr="0099106E">
        <w:rPr>
          <w:b/>
          <w:bCs/>
          <w:lang w:val="fr-FR"/>
        </w:rPr>
        <w:t>plusieurs correspondances valides</w:t>
      </w:r>
      <w:r w:rsidRPr="0099106E">
        <w:rPr>
          <w:lang w:val="fr-FR"/>
        </w:rPr>
        <w:t xml:space="preserve">, et parfois </w:t>
      </w:r>
      <w:r w:rsidRPr="0099106E">
        <w:rPr>
          <w:b/>
          <w:bCs/>
          <w:lang w:val="fr-FR"/>
        </w:rPr>
        <w:t>certains éléments d’une modalité n’ont pas d’équivalent</w:t>
      </w:r>
      <w:r w:rsidRPr="0099106E">
        <w:rPr>
          <w:lang w:val="fr-FR"/>
        </w:rPr>
        <w:t xml:space="preserve"> dans l’autre, ce qui rend l’alignement intrinsèquement incertain. </w:t>
      </w:r>
    </w:p>
    <w:p w14:paraId="47900506" w14:textId="77777777" w:rsidR="0099106E" w:rsidRPr="0099106E" w:rsidRDefault="0099106E" w:rsidP="0099106E">
      <w:pPr>
        <w:rPr>
          <w:b/>
          <w:bCs/>
          <w:lang w:val="fr-FR"/>
        </w:rPr>
      </w:pPr>
      <w:r w:rsidRPr="0099106E">
        <w:rPr>
          <w:b/>
          <w:bCs/>
          <w:lang w:val="fr-FR"/>
        </w:rPr>
        <w:t>4) Problèmes structurels : longue dépendance et segmentation floue</w:t>
      </w:r>
    </w:p>
    <w:p w14:paraId="7B1D9C08" w14:textId="77777777" w:rsidR="0099106E" w:rsidRPr="0099106E" w:rsidRDefault="0099106E" w:rsidP="0099106E">
      <w:pPr>
        <w:rPr>
          <w:lang w:val="fr-FR"/>
        </w:rPr>
      </w:pPr>
      <w:r w:rsidRPr="0099106E">
        <w:rPr>
          <w:lang w:val="fr-FR"/>
        </w:rPr>
        <w:t xml:space="preserve">Le deuxième article souligne que l’alignement souffre souvent de </w:t>
      </w:r>
      <w:r w:rsidRPr="0099106E">
        <w:rPr>
          <w:b/>
          <w:bCs/>
          <w:lang w:val="fr-FR"/>
        </w:rPr>
        <w:t>dépendances à long terme</w:t>
      </w:r>
      <w:r w:rsidRPr="0099106E">
        <w:rPr>
          <w:lang w:val="fr-FR"/>
        </w:rPr>
        <w:t xml:space="preserve"> et de </w:t>
      </w:r>
      <w:r w:rsidRPr="0099106E">
        <w:rPr>
          <w:b/>
          <w:bCs/>
          <w:lang w:val="fr-FR"/>
        </w:rPr>
        <w:t>segmentation ambiguë</w:t>
      </w:r>
      <w:r w:rsidRPr="0099106E">
        <w:rPr>
          <w:lang w:val="fr-FR"/>
        </w:rPr>
        <w:t xml:space="preserve">, car la relation entre modalités peut être </w:t>
      </w:r>
      <w:r w:rsidRPr="0099106E">
        <w:rPr>
          <w:b/>
          <w:bCs/>
          <w:lang w:val="fr-FR"/>
        </w:rPr>
        <w:t>1–1</w:t>
      </w:r>
      <w:r w:rsidRPr="0099106E">
        <w:rPr>
          <w:lang w:val="fr-FR"/>
        </w:rPr>
        <w:t xml:space="preserve">, </w:t>
      </w:r>
      <w:r w:rsidRPr="0099106E">
        <w:rPr>
          <w:b/>
          <w:bCs/>
          <w:lang w:val="fr-FR"/>
        </w:rPr>
        <w:t>N–N</w:t>
      </w:r>
      <w:r w:rsidRPr="0099106E">
        <w:rPr>
          <w:lang w:val="fr-FR"/>
        </w:rPr>
        <w:t xml:space="preserve">, ou inexistante. </w:t>
      </w:r>
    </w:p>
    <w:p w14:paraId="7245E8CD" w14:textId="77777777" w:rsidR="0099106E" w:rsidRPr="0099106E" w:rsidRDefault="0099106E" w:rsidP="0099106E">
      <w:pPr>
        <w:rPr>
          <w:b/>
          <w:bCs/>
          <w:lang w:val="fr-FR"/>
        </w:rPr>
      </w:pPr>
      <w:r w:rsidRPr="0099106E">
        <w:rPr>
          <w:b/>
          <w:bCs/>
          <w:lang w:val="fr-FR"/>
        </w:rPr>
        <w:t>5) Désynchronisation temporelle/spatiale difficile à gérer</w:t>
      </w:r>
    </w:p>
    <w:p w14:paraId="7F00E65F" w14:textId="77777777" w:rsidR="0099106E" w:rsidRPr="0099106E" w:rsidRDefault="0099106E" w:rsidP="0099106E">
      <w:pPr>
        <w:rPr>
          <w:lang w:val="fr-FR"/>
        </w:rPr>
      </w:pPr>
      <w:r w:rsidRPr="0099106E">
        <w:rPr>
          <w:lang w:val="fr-FR"/>
        </w:rPr>
        <w:t xml:space="preserve">Dans les systèmes réels (capteurs, vidéo/audio), les données peuvent être </w:t>
      </w:r>
      <w:r w:rsidRPr="0099106E">
        <w:rPr>
          <w:b/>
          <w:bCs/>
          <w:lang w:val="fr-FR"/>
        </w:rPr>
        <w:t>non synchronisées</w:t>
      </w:r>
      <w:r w:rsidRPr="0099106E">
        <w:rPr>
          <w:lang w:val="fr-FR"/>
        </w:rPr>
        <w:t xml:space="preserve"> (temps ou espace), ce qui fait de la synchronisation/alignement un des problèmes </w:t>
      </w:r>
      <w:r w:rsidRPr="0099106E">
        <w:rPr>
          <w:b/>
          <w:bCs/>
          <w:lang w:val="fr-FR"/>
        </w:rPr>
        <w:t>les plus importants et les plus difficiles</w:t>
      </w:r>
      <w:r w:rsidRPr="0099106E">
        <w:rPr>
          <w:lang w:val="fr-FR"/>
        </w:rPr>
        <w:t xml:space="preserve">. </w:t>
      </w:r>
    </w:p>
    <w:p w14:paraId="3EB14FAE" w14:textId="77777777" w:rsidR="0099106E" w:rsidRPr="0099106E" w:rsidRDefault="0099106E" w:rsidP="0099106E">
      <w:pPr>
        <w:rPr>
          <w:b/>
          <w:bCs/>
          <w:lang w:val="fr-FR"/>
        </w:rPr>
      </w:pPr>
      <w:r w:rsidRPr="0099106E">
        <w:rPr>
          <w:b/>
          <w:bCs/>
          <w:lang w:val="fr-FR"/>
        </w:rPr>
        <w:t>6) Hétérogénéité + différences de longueur et de sémantique</w:t>
      </w:r>
    </w:p>
    <w:p w14:paraId="334A9676" w14:textId="77777777" w:rsidR="0099106E" w:rsidRPr="0099106E" w:rsidRDefault="0099106E" w:rsidP="0099106E">
      <w:pPr>
        <w:rPr>
          <w:lang w:val="fr-FR"/>
        </w:rPr>
      </w:pPr>
      <w:r w:rsidRPr="0099106E">
        <w:rPr>
          <w:lang w:val="fr-FR"/>
        </w:rPr>
        <w:t>Les modalités peuvent avoir :</w:t>
      </w:r>
    </w:p>
    <w:p w14:paraId="4F7AF4F3" w14:textId="77777777" w:rsidR="0099106E" w:rsidRPr="0099106E" w:rsidRDefault="0099106E" w:rsidP="0099106E">
      <w:pPr>
        <w:numPr>
          <w:ilvl w:val="0"/>
          <w:numId w:val="1"/>
        </w:numPr>
        <w:rPr>
          <w:lang w:val="fr-FR"/>
        </w:rPr>
      </w:pPr>
      <w:proofErr w:type="gramStart"/>
      <w:r w:rsidRPr="0099106E">
        <w:rPr>
          <w:lang w:val="fr-FR"/>
        </w:rPr>
        <w:t>des</w:t>
      </w:r>
      <w:proofErr w:type="gramEnd"/>
      <w:r w:rsidRPr="0099106E">
        <w:rPr>
          <w:lang w:val="fr-FR"/>
        </w:rPr>
        <w:t xml:space="preserve"> </w:t>
      </w:r>
      <w:r w:rsidRPr="0099106E">
        <w:rPr>
          <w:b/>
          <w:bCs/>
          <w:lang w:val="fr-FR"/>
        </w:rPr>
        <w:t>longueurs très différentes</w:t>
      </w:r>
      <w:r w:rsidRPr="0099106E">
        <w:rPr>
          <w:lang w:val="fr-FR"/>
        </w:rPr>
        <w:t xml:space="preserve"> (ex. audio long vs texte court),</w:t>
      </w:r>
    </w:p>
    <w:p w14:paraId="3B13DE14" w14:textId="77777777" w:rsidR="0099106E" w:rsidRPr="0099106E" w:rsidRDefault="0099106E" w:rsidP="0099106E">
      <w:pPr>
        <w:numPr>
          <w:ilvl w:val="0"/>
          <w:numId w:val="1"/>
        </w:numPr>
        <w:rPr>
          <w:lang w:val="fr-FR"/>
        </w:rPr>
      </w:pPr>
      <w:proofErr w:type="gramStart"/>
      <w:r w:rsidRPr="0099106E">
        <w:rPr>
          <w:lang w:val="fr-FR"/>
        </w:rPr>
        <w:t>des</w:t>
      </w:r>
      <w:proofErr w:type="gramEnd"/>
      <w:r w:rsidRPr="0099106E">
        <w:rPr>
          <w:lang w:val="fr-FR"/>
        </w:rPr>
        <w:t xml:space="preserve"> </w:t>
      </w:r>
      <w:r w:rsidRPr="0099106E">
        <w:rPr>
          <w:b/>
          <w:bCs/>
          <w:lang w:val="fr-FR"/>
        </w:rPr>
        <w:t>différences sémantiques</w:t>
      </w:r>
      <w:r w:rsidRPr="0099106E">
        <w:rPr>
          <w:lang w:val="fr-FR"/>
        </w:rPr>
        <w:t xml:space="preserve"> (ce qui est exprimé dans une modalité n’est pas identique dans l’autre). </w:t>
      </w:r>
    </w:p>
    <w:p w14:paraId="765A8514" w14:textId="77777777" w:rsidR="0099106E" w:rsidRPr="0099106E" w:rsidRDefault="0099106E" w:rsidP="0099106E">
      <w:pPr>
        <w:rPr>
          <w:b/>
          <w:bCs/>
          <w:lang w:val="fr-FR"/>
        </w:rPr>
      </w:pPr>
      <w:r w:rsidRPr="0099106E">
        <w:rPr>
          <w:b/>
          <w:bCs/>
          <w:lang w:val="fr-FR"/>
        </w:rPr>
        <w:t>7) Limitations des méthodes classiques (cas DTW / CCA / modèles graphiques)</w:t>
      </w:r>
    </w:p>
    <w:p w14:paraId="09B03905" w14:textId="77777777" w:rsidR="0099106E" w:rsidRPr="0099106E" w:rsidRDefault="0099106E" w:rsidP="0099106E">
      <w:pPr>
        <w:numPr>
          <w:ilvl w:val="0"/>
          <w:numId w:val="2"/>
        </w:numPr>
        <w:rPr>
          <w:lang w:val="fr-FR"/>
        </w:rPr>
      </w:pPr>
      <w:r w:rsidRPr="0099106E">
        <w:rPr>
          <w:b/>
          <w:bCs/>
          <w:lang w:val="fr-FR"/>
        </w:rPr>
        <w:t>DTW</w:t>
      </w:r>
      <w:r w:rsidRPr="0099106E">
        <w:rPr>
          <w:lang w:val="fr-FR"/>
        </w:rPr>
        <w:t xml:space="preserve"> nécessite des pas de temps comparables et une similarité bien définie. </w:t>
      </w:r>
    </w:p>
    <w:p w14:paraId="2A229B0F" w14:textId="77777777" w:rsidR="0099106E" w:rsidRPr="0099106E" w:rsidRDefault="0099106E" w:rsidP="0099106E">
      <w:pPr>
        <w:numPr>
          <w:ilvl w:val="0"/>
          <w:numId w:val="2"/>
        </w:numPr>
        <w:rPr>
          <w:lang w:val="fr-FR"/>
        </w:rPr>
      </w:pPr>
      <w:r w:rsidRPr="0099106E">
        <w:rPr>
          <w:lang w:val="fr-FR"/>
        </w:rPr>
        <w:lastRenderedPageBreak/>
        <w:t xml:space="preserve">Les extensions </w:t>
      </w:r>
      <w:r w:rsidRPr="0099106E">
        <w:rPr>
          <w:b/>
          <w:bCs/>
          <w:lang w:val="fr-FR"/>
        </w:rPr>
        <w:t>CCA+DTW</w:t>
      </w:r>
      <w:r w:rsidRPr="0099106E">
        <w:rPr>
          <w:lang w:val="fr-FR"/>
        </w:rPr>
        <w:t xml:space="preserve"> restent limitées (CCA est linéaire) et modélisent mal les relations non-linéaires. </w:t>
      </w:r>
    </w:p>
    <w:p w14:paraId="70979693" w14:textId="77777777" w:rsidR="0099106E" w:rsidRPr="0099106E" w:rsidRDefault="0099106E" w:rsidP="0099106E">
      <w:pPr>
        <w:numPr>
          <w:ilvl w:val="0"/>
          <w:numId w:val="2"/>
        </w:numPr>
        <w:rPr>
          <w:lang w:val="fr-FR"/>
        </w:rPr>
      </w:pPr>
      <w:r w:rsidRPr="0099106E">
        <w:rPr>
          <w:lang w:val="fr-FR"/>
        </w:rPr>
        <w:t xml:space="preserve">Les modèles graphiques demandent souvent une </w:t>
      </w:r>
      <w:r w:rsidRPr="0099106E">
        <w:rPr>
          <w:b/>
          <w:bCs/>
          <w:lang w:val="fr-FR"/>
        </w:rPr>
        <w:t>expertise forte</w:t>
      </w:r>
      <w:r w:rsidRPr="0099106E">
        <w:rPr>
          <w:lang w:val="fr-FR"/>
        </w:rPr>
        <w:t xml:space="preserve"> pour être construits correctement.</w:t>
      </w:r>
    </w:p>
    <w:p w14:paraId="345CDCE9" w14:textId="02787520" w:rsidR="0099106E" w:rsidRDefault="0099106E">
      <w:pPr>
        <w:rPr>
          <w:lang w:val="fr-FR"/>
        </w:rPr>
      </w:pPr>
    </w:p>
    <w:p w14:paraId="1D7063B6" w14:textId="73D0913F" w:rsidR="0099106E" w:rsidRPr="0099106E" w:rsidRDefault="0099106E" w:rsidP="0099106E">
      <w:pPr>
        <w:pStyle w:val="Paragraphedeliste"/>
        <w:numPr>
          <w:ilvl w:val="0"/>
          <w:numId w:val="3"/>
        </w:numPr>
        <w:rPr>
          <w:lang w:val="fr-FR"/>
        </w:rPr>
      </w:pPr>
      <w:r w:rsidRPr="0099106E">
        <w:rPr>
          <w:lang w:val="fr-FR"/>
        </w:rPr>
        <w:t xml:space="preserve">L’alignement permet de relier directement des éléments de deux modalités, ce qui rend l’information plus exploitable et cohérente pour le modèle. </w:t>
      </w:r>
    </w:p>
    <w:p w14:paraId="62DCBB07" w14:textId="77777777" w:rsidR="0099106E" w:rsidRPr="0099106E" w:rsidRDefault="0099106E" w:rsidP="0099106E">
      <w:pPr>
        <w:pStyle w:val="Paragraphedeliste"/>
        <w:numPr>
          <w:ilvl w:val="0"/>
          <w:numId w:val="3"/>
        </w:numPr>
        <w:rPr>
          <w:lang w:val="fr-FR"/>
        </w:rPr>
      </w:pPr>
      <w:r w:rsidRPr="0099106E">
        <w:rPr>
          <w:lang w:val="fr-FR"/>
        </w:rPr>
        <w:t xml:space="preserve">Avec les mécanismes d’attention, le modèle apprend à se concentrer sur les bonnes parties (régions, mots, frames), au lieu de résumer toute la modalité dans un seul vecteur, ce qui améliore la qualité des résultats. </w:t>
      </w:r>
    </w:p>
    <w:p w14:paraId="650AC266" w14:textId="707C52F0" w:rsidR="00E33661" w:rsidRPr="0099106E" w:rsidRDefault="0099106E" w:rsidP="0099106E">
      <w:pPr>
        <w:pStyle w:val="Paragraphedeliste"/>
        <w:numPr>
          <w:ilvl w:val="0"/>
          <w:numId w:val="3"/>
        </w:numPr>
        <w:rPr>
          <w:lang w:val="fr-FR"/>
        </w:rPr>
      </w:pPr>
      <w:r w:rsidRPr="0099106E">
        <w:rPr>
          <w:lang w:val="fr-FR"/>
        </w:rPr>
        <w:t>Le survey sur la fusion multimodale indique que des alignements efficaces peuvent aider à réduire le bruit externe introduit pendant la fusion et donc éviter une dégradation des performances.</w:t>
      </w:r>
    </w:p>
    <w:sectPr w:rsidR="00E33661" w:rsidRPr="0099106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1589A"/>
    <w:multiLevelType w:val="hybridMultilevel"/>
    <w:tmpl w:val="896214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E664956"/>
    <w:multiLevelType w:val="multilevel"/>
    <w:tmpl w:val="6428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197DFB"/>
    <w:multiLevelType w:val="multilevel"/>
    <w:tmpl w:val="B0F8C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392437">
    <w:abstractNumId w:val="1"/>
  </w:num>
  <w:num w:numId="2" w16cid:durableId="1866096859">
    <w:abstractNumId w:val="2"/>
  </w:num>
  <w:num w:numId="3" w16cid:durableId="2165565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A42"/>
    <w:rsid w:val="001B655B"/>
    <w:rsid w:val="005A1A02"/>
    <w:rsid w:val="00605335"/>
    <w:rsid w:val="006A6BD1"/>
    <w:rsid w:val="008A5304"/>
    <w:rsid w:val="0099106E"/>
    <w:rsid w:val="00A63A42"/>
    <w:rsid w:val="00E33661"/>
    <w:rsid w:val="00FB57E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2C031"/>
  <w15:chartTrackingRefBased/>
  <w15:docId w15:val="{866D11F7-971D-467C-925C-6C1B43B01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63A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63A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63A4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63A4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63A4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63A4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63A4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63A4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63A4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63A4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63A4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63A4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63A4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63A4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63A4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63A4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63A4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63A42"/>
    <w:rPr>
      <w:rFonts w:eastAsiaTheme="majorEastAsia" w:cstheme="majorBidi"/>
      <w:color w:val="272727" w:themeColor="text1" w:themeTint="D8"/>
    </w:rPr>
  </w:style>
  <w:style w:type="paragraph" w:styleId="Titre">
    <w:name w:val="Title"/>
    <w:basedOn w:val="Normal"/>
    <w:next w:val="Normal"/>
    <w:link w:val="TitreCar"/>
    <w:uiPriority w:val="10"/>
    <w:qFormat/>
    <w:rsid w:val="00A63A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63A4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63A4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63A4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63A42"/>
    <w:pPr>
      <w:spacing w:before="160"/>
      <w:jc w:val="center"/>
    </w:pPr>
    <w:rPr>
      <w:i/>
      <w:iCs/>
      <w:color w:val="404040" w:themeColor="text1" w:themeTint="BF"/>
    </w:rPr>
  </w:style>
  <w:style w:type="character" w:customStyle="1" w:styleId="CitationCar">
    <w:name w:val="Citation Car"/>
    <w:basedOn w:val="Policepardfaut"/>
    <w:link w:val="Citation"/>
    <w:uiPriority w:val="29"/>
    <w:rsid w:val="00A63A42"/>
    <w:rPr>
      <w:i/>
      <w:iCs/>
      <w:color w:val="404040" w:themeColor="text1" w:themeTint="BF"/>
    </w:rPr>
  </w:style>
  <w:style w:type="paragraph" w:styleId="Paragraphedeliste">
    <w:name w:val="List Paragraph"/>
    <w:basedOn w:val="Normal"/>
    <w:uiPriority w:val="34"/>
    <w:qFormat/>
    <w:rsid w:val="00A63A42"/>
    <w:pPr>
      <w:ind w:left="720"/>
      <w:contextualSpacing/>
    </w:pPr>
  </w:style>
  <w:style w:type="character" w:styleId="Accentuationintense">
    <w:name w:val="Intense Emphasis"/>
    <w:basedOn w:val="Policepardfaut"/>
    <w:uiPriority w:val="21"/>
    <w:qFormat/>
    <w:rsid w:val="00A63A42"/>
    <w:rPr>
      <w:i/>
      <w:iCs/>
      <w:color w:val="0F4761" w:themeColor="accent1" w:themeShade="BF"/>
    </w:rPr>
  </w:style>
  <w:style w:type="paragraph" w:styleId="Citationintense">
    <w:name w:val="Intense Quote"/>
    <w:basedOn w:val="Normal"/>
    <w:next w:val="Normal"/>
    <w:link w:val="CitationintenseCar"/>
    <w:uiPriority w:val="30"/>
    <w:qFormat/>
    <w:rsid w:val="00A63A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63A42"/>
    <w:rPr>
      <w:i/>
      <w:iCs/>
      <w:color w:val="0F4761" w:themeColor="accent1" w:themeShade="BF"/>
    </w:rPr>
  </w:style>
  <w:style w:type="character" w:styleId="Rfrenceintense">
    <w:name w:val="Intense Reference"/>
    <w:basedOn w:val="Policepardfaut"/>
    <w:uiPriority w:val="32"/>
    <w:qFormat/>
    <w:rsid w:val="00A63A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700</Words>
  <Characters>3855</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2</cp:revision>
  <dcterms:created xsi:type="dcterms:W3CDTF">2026-01-13T14:42:00Z</dcterms:created>
  <dcterms:modified xsi:type="dcterms:W3CDTF">2026-01-23T12:47:00Z</dcterms:modified>
</cp:coreProperties>
</file>