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0E41" w14:textId="61856330" w:rsidR="00DB10AF" w:rsidRDefault="00DB10AF" w:rsidP="00DB10AF">
      <w:pPr>
        <w:pStyle w:val="Titre1"/>
        <w:rPr>
          <w:lang w:val="fr-FR"/>
        </w:rPr>
      </w:pPr>
      <w:r>
        <w:rPr>
          <w:lang w:val="fr-FR"/>
        </w:rPr>
        <w:t>IV. Solution existante</w:t>
      </w:r>
    </w:p>
    <w:p w14:paraId="0611DA88" w14:textId="6E7E93C4" w:rsidR="00DB10AF" w:rsidRDefault="00DB10AF" w:rsidP="00DB10AF">
      <w:pPr>
        <w:pStyle w:val="Titre2"/>
        <w:rPr>
          <w:lang w:val="fr-FR"/>
        </w:rPr>
      </w:pPr>
      <w:r>
        <w:rPr>
          <w:lang w:val="fr-FR"/>
        </w:rPr>
        <w:t>4.1 Solution académiques</w:t>
      </w:r>
    </w:p>
    <w:p w14:paraId="38EB9D7B" w14:textId="77777777" w:rsidR="00424B58" w:rsidRPr="002A10D4" w:rsidRDefault="00424B58" w:rsidP="00424B58">
      <w:pPr>
        <w:pStyle w:val="NormalWeb"/>
        <w:rPr>
          <w:lang w:val="fr-FR"/>
        </w:rPr>
      </w:pPr>
      <w:r w:rsidRPr="002A10D4">
        <w:rPr>
          <w:lang w:val="fr-FR"/>
        </w:rPr>
        <w:t>La recherche académique s’intéresse de plus en plus à l’automatisation de l’exploitation des plans architecturaux</w:t>
      </w:r>
      <w:r>
        <w:rPr>
          <w:lang w:val="fr-FR"/>
        </w:rPr>
        <w:t xml:space="preserve"> ou industriel</w:t>
      </w:r>
      <w:r w:rsidRPr="002A10D4">
        <w:rPr>
          <w:lang w:val="fr-FR"/>
        </w:rPr>
        <w:t>, qu’ils soient en deux ou trois dimensions. Ces travaux visent à réduire le temps et les erreurs liés aux traitements manuels, tout en améliorant la fiabilité et la précision des analyses. Ils s’appuient notamment sur des approches d’extraction de quantités, de détection de symboles, et de conversion automatique de plans 2D en modèles 3D.</w:t>
      </w:r>
    </w:p>
    <w:p w14:paraId="420546A9" w14:textId="77777777" w:rsidR="00424B58" w:rsidRDefault="00424B58" w:rsidP="00424B58">
      <w:pPr>
        <w:pStyle w:val="NormalWeb"/>
        <w:rPr>
          <w:lang w:val="fr-FR"/>
        </w:rPr>
      </w:pPr>
      <w:r w:rsidRPr="002A10D4">
        <w:rPr>
          <w:lang w:val="fr-FR"/>
        </w:rPr>
        <w:t>Les solutions proposées varient toutefois en fonction du type et du format des plans étudiés. Les modèles 3D, souvent riches en informations géométriques et sémantiques, sont principalement exploités pour la planification, l’estimation des coûts ou encore la gestion de chantiers. Leur structure bien définie facilite l’analyse automatisée et leur intégration dans les processus de modélisation des données du bâtiment (BIM). En revanche, les plans 2D, dont les informations sont plus difficiles à extraire automatiquement, suscitent un intérêt croissant pour le développement de méthodes de reconnaissance et de structuration des données à l’aide de la vision par ordinateur et de l’apprentissage automatique. Une part importante de la recherche s’attache également à transformer ces plans 2D en représentations 3D exploitables, afin d’enrichir les outils de conception, de simulation et d’analyse.</w:t>
      </w:r>
    </w:p>
    <w:p w14:paraId="385F04E3" w14:textId="55E61D65" w:rsidR="009A3D35" w:rsidRPr="002A10D4" w:rsidRDefault="009A3D35" w:rsidP="009A3D35">
      <w:pPr>
        <w:pStyle w:val="Titre3"/>
        <w:rPr>
          <w:lang w:val="fr-FR"/>
        </w:rPr>
      </w:pPr>
      <w:r>
        <w:rPr>
          <w:lang w:val="fr-FR"/>
        </w:rPr>
        <w:t xml:space="preserve">4.1.1 Les solution 2D </w:t>
      </w:r>
    </w:p>
    <w:p w14:paraId="0B4DBA2D" w14:textId="69940097" w:rsidR="000E0B8B" w:rsidRPr="000E0B8B" w:rsidRDefault="000E0B8B" w:rsidP="000E0B8B">
      <w:pPr>
        <w:pStyle w:val="NormalWeb"/>
        <w:rPr>
          <w:lang w:val="fr-FR"/>
        </w:rPr>
      </w:pPr>
      <w:bookmarkStart w:id="0" w:name="_Hlk210722489"/>
      <w:r w:rsidRPr="000E0B8B">
        <w:rPr>
          <w:rStyle w:val="lev"/>
          <w:rFonts w:eastAsiaTheme="majorEastAsia"/>
          <w:lang w:val="fr-FR"/>
        </w:rPr>
        <w:t>Extraction de surfaces et calculs de quantités (QTO).</w:t>
      </w:r>
      <w:r w:rsidRPr="000E0B8B">
        <w:rPr>
          <w:lang w:val="fr-FR"/>
        </w:rPr>
        <w:br/>
        <w:t xml:space="preserve">Li et Zhang (2025) proposent un algorithme de détection des contours pour automatiser les </w:t>
      </w:r>
      <w:proofErr w:type="spellStart"/>
      <w:r w:rsidRPr="000E0B8B">
        <w:rPr>
          <w:rStyle w:val="Accentuation"/>
          <w:rFonts w:eastAsiaTheme="majorEastAsia"/>
          <w:lang w:val="fr-FR"/>
        </w:rPr>
        <w:t>Quantity</w:t>
      </w:r>
      <w:proofErr w:type="spellEnd"/>
      <w:r w:rsidRPr="000E0B8B">
        <w:rPr>
          <w:rStyle w:val="Accentuation"/>
          <w:rFonts w:eastAsiaTheme="majorEastAsia"/>
          <w:lang w:val="fr-FR"/>
        </w:rPr>
        <w:t xml:space="preserve"> </w:t>
      </w:r>
      <w:proofErr w:type="spellStart"/>
      <w:r w:rsidRPr="000E0B8B">
        <w:rPr>
          <w:rStyle w:val="Accentuation"/>
          <w:rFonts w:eastAsiaTheme="majorEastAsia"/>
          <w:lang w:val="fr-FR"/>
        </w:rPr>
        <w:t>Takeoffs</w:t>
      </w:r>
      <w:proofErr w:type="spellEnd"/>
      <w:r w:rsidRPr="000E0B8B">
        <w:rPr>
          <w:lang w:val="fr-FR"/>
        </w:rPr>
        <w:t xml:space="preserve">, en particulier pour des formes irrégulières comme les tabliers de ponts. Leur méthode combine un modèle de détection d’objets YOLO, entraîné sur 2000 images pour identifier les flèches de </w:t>
      </w:r>
      <w:r w:rsidR="00C87614" w:rsidRPr="000E0B8B">
        <w:rPr>
          <w:lang w:val="fr-FR"/>
        </w:rPr>
        <w:t>côtes</w:t>
      </w:r>
      <w:r w:rsidRPr="000E0B8B">
        <w:rPr>
          <w:lang w:val="fr-FR"/>
        </w:rPr>
        <w:t xml:space="preserve">, avec une analyse par contours basée sur </w:t>
      </w:r>
      <w:proofErr w:type="spellStart"/>
      <w:r w:rsidRPr="000E0B8B">
        <w:rPr>
          <w:lang w:val="fr-FR"/>
        </w:rPr>
        <w:t>Canny</w:t>
      </w:r>
      <w:proofErr w:type="spellEnd"/>
      <w:r w:rsidRPr="000E0B8B">
        <w:rPr>
          <w:lang w:val="fr-FR"/>
        </w:rPr>
        <w:t xml:space="preserve"> Edge </w:t>
      </w:r>
      <w:proofErr w:type="spellStart"/>
      <w:r w:rsidRPr="000E0B8B">
        <w:rPr>
          <w:lang w:val="fr-FR"/>
        </w:rPr>
        <w:t>Detection</w:t>
      </w:r>
      <w:proofErr w:type="spellEnd"/>
      <w:r w:rsidRPr="000E0B8B">
        <w:rPr>
          <w:lang w:val="fr-FR"/>
        </w:rPr>
        <w:t xml:space="preserve">. Cette approche atteint une précision de </w:t>
      </w:r>
      <w:r w:rsidRPr="000E0B8B">
        <w:rPr>
          <w:rStyle w:val="lev"/>
          <w:rFonts w:eastAsiaTheme="majorEastAsia"/>
          <w:lang w:val="fr-FR"/>
        </w:rPr>
        <w:t>94,1 % pour le calcul des surfaces</w:t>
      </w:r>
      <w:r w:rsidRPr="000E0B8B">
        <w:rPr>
          <w:lang w:val="fr-FR"/>
        </w:rPr>
        <w:t xml:space="preserve"> et réduit de </w:t>
      </w:r>
      <w:r w:rsidRPr="000E0B8B">
        <w:rPr>
          <w:rStyle w:val="lev"/>
          <w:rFonts w:eastAsiaTheme="majorEastAsia"/>
          <w:lang w:val="fr-FR"/>
        </w:rPr>
        <w:t>99 % le temps de traitement</w:t>
      </w:r>
      <w:r w:rsidRPr="000E0B8B">
        <w:rPr>
          <w:lang w:val="fr-FR"/>
        </w:rPr>
        <w:t xml:space="preserve"> par rapport à la méthode manuelle. Bien que prometteuse, cette solution reste limitée par la variabilité des flèches et des formes complexes, nécessitant encore des améliorations du modèle et du prétraitement.</w:t>
      </w:r>
    </w:p>
    <w:bookmarkEnd w:id="0"/>
    <w:p w14:paraId="3FEC1309" w14:textId="17829E4F" w:rsidR="000E0B8B" w:rsidRPr="000E0B8B" w:rsidRDefault="000E0B8B" w:rsidP="000E0B8B">
      <w:pPr>
        <w:pStyle w:val="NormalWeb"/>
        <w:rPr>
          <w:lang w:val="fr-FR"/>
        </w:rPr>
      </w:pPr>
      <w:r w:rsidRPr="000E0B8B">
        <w:rPr>
          <w:rStyle w:val="lev"/>
          <w:rFonts w:eastAsiaTheme="majorEastAsia"/>
          <w:lang w:val="fr-FR"/>
        </w:rPr>
        <w:t>Détection automatique de symboles dans les plans.</w:t>
      </w:r>
      <w:r w:rsidRPr="000E0B8B">
        <w:rPr>
          <w:lang w:val="fr-FR"/>
        </w:rPr>
        <w:br/>
        <w:t xml:space="preserve">Jamieson, Moreno-Garcia et Elyan (2025) développent un cadre basé sur l’apprentissage profond pour la détection de symboles dans des plans de construction complexes. Leur étude compare deux modèles de pointe : </w:t>
      </w:r>
      <w:r w:rsidRPr="000E0B8B">
        <w:rPr>
          <w:rStyle w:val="lev"/>
          <w:rFonts w:eastAsiaTheme="majorEastAsia"/>
          <w:lang w:val="fr-FR"/>
        </w:rPr>
        <w:t>YOLOv7</w:t>
      </w:r>
      <w:r w:rsidRPr="000E0B8B">
        <w:rPr>
          <w:lang w:val="fr-FR"/>
        </w:rPr>
        <w:t xml:space="preserve"> et </w:t>
      </w:r>
      <w:proofErr w:type="spellStart"/>
      <w:r w:rsidRPr="000E0B8B">
        <w:rPr>
          <w:rStyle w:val="lev"/>
          <w:rFonts w:eastAsiaTheme="majorEastAsia"/>
          <w:lang w:val="fr-FR"/>
        </w:rPr>
        <w:t>Faster</w:t>
      </w:r>
      <w:proofErr w:type="spellEnd"/>
      <w:r w:rsidRPr="000E0B8B">
        <w:rPr>
          <w:rStyle w:val="lev"/>
          <w:rFonts w:eastAsiaTheme="majorEastAsia"/>
          <w:lang w:val="fr-FR"/>
        </w:rPr>
        <w:t xml:space="preserve"> R-CNN</w:t>
      </w:r>
      <w:r w:rsidRPr="000E0B8B">
        <w:rPr>
          <w:lang w:val="fr-FR"/>
        </w:rPr>
        <w:t xml:space="preserve">, appliqués à un jeu de données industriel de 198 plans (plomberie, HVAC, etc.), représentant plus de 6000 symboles annotés. Les résultats montrent une </w:t>
      </w:r>
      <w:r w:rsidRPr="000E0B8B">
        <w:rPr>
          <w:rStyle w:val="lev"/>
          <w:rFonts w:eastAsiaTheme="majorEastAsia"/>
          <w:lang w:val="fr-FR"/>
        </w:rPr>
        <w:t xml:space="preserve">mAP@0.5 de 79 % pour YOLOv7 et 83 % pour </w:t>
      </w:r>
      <w:proofErr w:type="spellStart"/>
      <w:r w:rsidRPr="000E0B8B">
        <w:rPr>
          <w:rStyle w:val="lev"/>
          <w:rFonts w:eastAsiaTheme="majorEastAsia"/>
          <w:lang w:val="fr-FR"/>
        </w:rPr>
        <w:t>Faster</w:t>
      </w:r>
      <w:proofErr w:type="spellEnd"/>
      <w:r w:rsidRPr="000E0B8B">
        <w:rPr>
          <w:rStyle w:val="lev"/>
          <w:rFonts w:eastAsiaTheme="majorEastAsia"/>
          <w:lang w:val="fr-FR"/>
        </w:rPr>
        <w:t xml:space="preserve"> R-CNN</w:t>
      </w:r>
      <w:r w:rsidRPr="000E0B8B">
        <w:rPr>
          <w:lang w:val="fr-FR"/>
        </w:rPr>
        <w:t xml:space="preserve">, avec une précision globale supérieure à </w:t>
      </w:r>
      <w:r w:rsidRPr="000E0B8B">
        <w:rPr>
          <w:rStyle w:val="lev"/>
          <w:rFonts w:eastAsiaTheme="majorEastAsia"/>
          <w:lang w:val="fr-FR"/>
        </w:rPr>
        <w:t>95 %</w:t>
      </w:r>
      <w:r w:rsidRPr="000E0B8B">
        <w:rPr>
          <w:lang w:val="fr-FR"/>
        </w:rPr>
        <w:t>. Cette méthode permet d’automatiser des tâches comme la génération de listes de matériaux et démontre l’efficacité des CNN pour extraire des informations même dans des documents très denses. Toutefois, des défis persistent, notamment liés à l’</w:t>
      </w:r>
      <w:r w:rsidRPr="000E0B8B">
        <w:rPr>
          <w:rStyle w:val="lev"/>
          <w:rFonts w:eastAsiaTheme="majorEastAsia"/>
          <w:lang w:val="fr-FR"/>
        </w:rPr>
        <w:t>équilibre des classes</w:t>
      </w:r>
      <w:r>
        <w:rPr>
          <w:lang w:val="fr-FR"/>
        </w:rPr>
        <w:t xml:space="preserve"> avec </w:t>
      </w:r>
      <w:r w:rsidRPr="000E0B8B">
        <w:rPr>
          <w:lang w:val="fr-FR"/>
        </w:rPr>
        <w:t xml:space="preserve">certains symboles rares étant mal détectés et à la </w:t>
      </w:r>
      <w:r w:rsidRPr="000E0B8B">
        <w:rPr>
          <w:rStyle w:val="lev"/>
          <w:rFonts w:eastAsiaTheme="majorEastAsia"/>
          <w:lang w:val="fr-FR"/>
        </w:rPr>
        <w:t>faible taille des objets</w:t>
      </w:r>
      <w:r w:rsidRPr="000E0B8B">
        <w:rPr>
          <w:lang w:val="fr-FR"/>
        </w:rPr>
        <w:t>.</w:t>
      </w:r>
    </w:p>
    <w:p w14:paraId="5EA30D12" w14:textId="6BEF4776" w:rsidR="000E0B8B" w:rsidRPr="000E0B8B" w:rsidRDefault="000E0B8B" w:rsidP="000E0B8B">
      <w:pPr>
        <w:pStyle w:val="NormalWeb"/>
        <w:rPr>
          <w:lang w:val="fr-FR"/>
        </w:rPr>
      </w:pPr>
      <w:r w:rsidRPr="000E0B8B">
        <w:rPr>
          <w:rStyle w:val="lev"/>
          <w:rFonts w:eastAsiaTheme="majorEastAsia"/>
          <w:lang w:val="fr-FR"/>
        </w:rPr>
        <w:lastRenderedPageBreak/>
        <w:t>Analyse et vectorisation des plans.</w:t>
      </w:r>
      <w:r w:rsidRPr="000E0B8B">
        <w:rPr>
          <w:lang w:val="fr-FR"/>
        </w:rPr>
        <w:br/>
        <w:t xml:space="preserve">D’autres travaux par ex. </w:t>
      </w:r>
      <w:proofErr w:type="spellStart"/>
      <w:r w:rsidRPr="000E0B8B">
        <w:rPr>
          <w:lang w:val="fr-FR"/>
        </w:rPr>
        <w:t>Gerstweiler</w:t>
      </w:r>
      <w:proofErr w:type="spellEnd"/>
      <w:r w:rsidRPr="000E0B8B">
        <w:rPr>
          <w:lang w:val="fr-FR"/>
        </w:rPr>
        <w:t xml:space="preserve"> et al. </w:t>
      </w:r>
      <w:r>
        <w:rPr>
          <w:lang w:val="fr-FR"/>
        </w:rPr>
        <w:t>(</w:t>
      </w:r>
      <w:r w:rsidRPr="000E0B8B">
        <w:rPr>
          <w:lang w:val="fr-FR"/>
        </w:rPr>
        <w:t xml:space="preserve">2018) se concentrent sur l’extraction des données structurelles et sémantiques des plans 2D </w:t>
      </w:r>
      <w:r>
        <w:rPr>
          <w:lang w:val="fr-FR"/>
        </w:rPr>
        <w:t>type</w:t>
      </w:r>
      <w:r w:rsidRPr="000E0B8B">
        <w:rPr>
          <w:lang w:val="fr-FR"/>
        </w:rPr>
        <w:t xml:space="preserve"> DWG</w:t>
      </w:r>
      <w:r>
        <w:rPr>
          <w:lang w:val="fr-FR"/>
        </w:rPr>
        <w:t xml:space="preserve"> ou </w:t>
      </w:r>
      <w:r w:rsidRPr="000E0B8B">
        <w:rPr>
          <w:lang w:val="fr-FR"/>
        </w:rPr>
        <w:t xml:space="preserve">DXF. Leur approche combine la détection des murs, ouvertures et pièces </w:t>
      </w:r>
      <w:proofErr w:type="spellStart"/>
      <w:r w:rsidRPr="00A01407">
        <w:t>pour</w:t>
      </w:r>
      <w:proofErr w:type="spellEnd"/>
      <w:r w:rsidRPr="00A01407">
        <w:t xml:space="preserve"> </w:t>
      </w:r>
      <w:proofErr w:type="spellStart"/>
      <w:r w:rsidRPr="00A01407">
        <w:t>produ</w:t>
      </w:r>
      <w:proofErr w:type="spellEnd"/>
      <w:r w:rsidRPr="000E0B8B">
        <w:rPr>
          <w:lang w:val="fr-FR"/>
        </w:rPr>
        <w:t>ire une sortie exploitable en format IFC, facilitant ainsi la reconstruction 3D ou l’intégration dans un processus BIM.</w:t>
      </w:r>
      <w:r>
        <w:rPr>
          <w:lang w:val="fr-FR"/>
        </w:rPr>
        <w:t xml:space="preserve"> Méme si l’étude n’a pas pour finalité de fournir des métrés elle passe par l’extraction de celle-ci. </w:t>
      </w:r>
      <w:r w:rsidRPr="000E0B8B">
        <w:rPr>
          <w:lang w:val="fr-FR"/>
        </w:rPr>
        <w:t>Les performances sont élevées précision de 98,2 % pour les fenêtres et rappel de 92,3 %, mais ces solutions s’appliquent surtout aux formats vectoriels et non aux PDF/images, qui dominent dans la pratique.</w:t>
      </w:r>
    </w:p>
    <w:p w14:paraId="30394C59" w14:textId="18E83173" w:rsidR="000E0B8B" w:rsidRPr="000E0B8B" w:rsidRDefault="000E0B8B" w:rsidP="000E0B8B">
      <w:pPr>
        <w:pStyle w:val="NormalWeb"/>
        <w:rPr>
          <w:lang w:val="fr-FR"/>
        </w:rPr>
      </w:pPr>
      <w:r w:rsidRPr="000E0B8B">
        <w:rPr>
          <w:rStyle w:val="lev"/>
          <w:rFonts w:eastAsiaTheme="majorEastAsia"/>
          <w:lang w:val="fr-FR"/>
        </w:rPr>
        <w:t>Synthèse.</w:t>
      </w:r>
      <w:r w:rsidRPr="000E0B8B">
        <w:rPr>
          <w:lang w:val="fr-FR"/>
        </w:rPr>
        <w:br/>
        <w:t xml:space="preserve">Ces solutions académiques démontrent que les approches basées sur la vision par ordinateur et l’apprentissage profond offrent un potentiel considérable pour l’automatisation du traitement des plans 2D. Elles permettent déjà d’atteindre des niveaux de précision élevés pour des tâches ciblées </w:t>
      </w:r>
      <w:r w:rsidR="005C6ADE">
        <w:rPr>
          <w:lang w:val="fr-FR"/>
        </w:rPr>
        <w:t>comme l’extraction des métré</w:t>
      </w:r>
      <w:r w:rsidRPr="000E0B8B">
        <w:rPr>
          <w:lang w:val="fr-FR"/>
        </w:rPr>
        <w:t>, détection de symboles</w:t>
      </w:r>
      <w:r w:rsidR="005C6ADE">
        <w:rPr>
          <w:lang w:val="fr-FR"/>
        </w:rPr>
        <w:t xml:space="preserve"> ou </w:t>
      </w:r>
      <w:r w:rsidRPr="000E0B8B">
        <w:rPr>
          <w:lang w:val="fr-FR"/>
        </w:rPr>
        <w:t>vectorisation tout en réduisant fortement le temps de traitement. Cependant, elles restent confrontées à plusieurs limites</w:t>
      </w:r>
      <w:r w:rsidR="005C6ADE">
        <w:rPr>
          <w:lang w:val="fr-FR"/>
        </w:rPr>
        <w:t xml:space="preserve"> comme la </w:t>
      </w:r>
      <w:r w:rsidRPr="000E0B8B">
        <w:rPr>
          <w:lang w:val="fr-FR"/>
        </w:rPr>
        <w:t xml:space="preserve">disponibilité limitée des </w:t>
      </w:r>
      <w:proofErr w:type="spellStart"/>
      <w:r w:rsidRPr="000E0B8B">
        <w:rPr>
          <w:lang w:val="fr-FR"/>
        </w:rPr>
        <w:t>datasets</w:t>
      </w:r>
      <w:proofErr w:type="spellEnd"/>
      <w:r w:rsidRPr="000E0B8B">
        <w:rPr>
          <w:lang w:val="fr-FR"/>
        </w:rPr>
        <w:t xml:space="preserve"> annotés, variabilité des conventions graphiques, difficulté à traiter les scans bruités ou de faible résolution, et manque de robustesse pour généraliser à l’ensemble des cas rencontrés dans l’industrie.</w:t>
      </w:r>
    </w:p>
    <w:p w14:paraId="5186B398" w14:textId="2132BFE3" w:rsidR="00DB10AF" w:rsidRDefault="00DB10AF" w:rsidP="000E0B8B">
      <w:pPr>
        <w:rPr>
          <w:rFonts w:ascii="Times New Roman" w:eastAsia="Times New Roman" w:hAnsi="Times New Roman" w:cs="Times New Roman"/>
          <w:kern w:val="0"/>
          <w:lang w:val="fr-FR" w:eastAsia="es-AR"/>
          <w14:ligatures w14:val="none"/>
        </w:rPr>
      </w:pPr>
    </w:p>
    <w:p w14:paraId="5393F24F" w14:textId="77777777" w:rsidR="00DB10AF" w:rsidRPr="00DB10AF" w:rsidRDefault="00DB10AF" w:rsidP="00DB10AF">
      <w:pPr>
        <w:spacing w:before="100" w:beforeAutospacing="1" w:after="100" w:afterAutospacing="1" w:line="240" w:lineRule="auto"/>
        <w:rPr>
          <w:rFonts w:ascii="Times New Roman" w:eastAsia="Times New Roman" w:hAnsi="Times New Roman" w:cs="Times New Roman"/>
          <w:kern w:val="0"/>
          <w:lang w:val="fr-FR" w:eastAsia="es-AR"/>
          <w14:ligatures w14:val="none"/>
        </w:rPr>
      </w:pPr>
    </w:p>
    <w:p w14:paraId="37A4C235" w14:textId="77777777" w:rsidR="00DB10AF" w:rsidRPr="002414A0" w:rsidRDefault="00DB10AF" w:rsidP="00DB10AF">
      <w:pPr>
        <w:numPr>
          <w:ilvl w:val="0"/>
          <w:numId w:val="9"/>
        </w:numPr>
        <w:spacing w:before="100" w:beforeAutospacing="1" w:after="100" w:afterAutospacing="1" w:line="240" w:lineRule="auto"/>
        <w:rPr>
          <w:rFonts w:ascii="Times New Roman" w:eastAsia="Times New Roman" w:hAnsi="Times New Roman" w:cs="Times New Roman"/>
          <w:kern w:val="0"/>
          <w:lang w:eastAsia="es-AR"/>
          <w14:ligatures w14:val="none"/>
        </w:rPr>
      </w:pPr>
      <w:proofErr w:type="spellStart"/>
      <w:r w:rsidRPr="002414A0">
        <w:rPr>
          <w:rFonts w:ascii="Times New Roman" w:eastAsia="Times New Roman" w:hAnsi="Times New Roman" w:cs="Times New Roman"/>
          <w:b/>
          <w:bCs/>
          <w:kern w:val="0"/>
          <w:lang w:eastAsia="es-AR"/>
          <w14:ligatures w14:val="none"/>
        </w:rPr>
        <w:t>Solutions</w:t>
      </w:r>
      <w:proofErr w:type="spellEnd"/>
      <w:r w:rsidRPr="002414A0">
        <w:rPr>
          <w:rFonts w:ascii="Times New Roman" w:eastAsia="Times New Roman" w:hAnsi="Times New Roman" w:cs="Times New Roman"/>
          <w:b/>
          <w:bCs/>
          <w:kern w:val="0"/>
          <w:lang w:eastAsia="es-AR"/>
          <w14:ligatures w14:val="none"/>
        </w:rPr>
        <w:t xml:space="preserve"> </w:t>
      </w:r>
      <w:proofErr w:type="spellStart"/>
      <w:r w:rsidRPr="002414A0">
        <w:rPr>
          <w:rFonts w:ascii="Times New Roman" w:eastAsia="Times New Roman" w:hAnsi="Times New Roman" w:cs="Times New Roman"/>
          <w:b/>
          <w:bCs/>
          <w:kern w:val="0"/>
          <w:lang w:eastAsia="es-AR"/>
          <w14:ligatures w14:val="none"/>
        </w:rPr>
        <w:t>industrielles</w:t>
      </w:r>
      <w:proofErr w:type="spellEnd"/>
      <w:r w:rsidRPr="002414A0">
        <w:rPr>
          <w:rFonts w:ascii="Times New Roman" w:eastAsia="Times New Roman" w:hAnsi="Times New Roman" w:cs="Times New Roman"/>
          <w:b/>
          <w:bCs/>
          <w:kern w:val="0"/>
          <w:lang w:eastAsia="es-AR"/>
          <w14:ligatures w14:val="none"/>
        </w:rPr>
        <w:t xml:space="preserve"> et </w:t>
      </w:r>
      <w:proofErr w:type="spellStart"/>
      <w:r w:rsidRPr="002414A0">
        <w:rPr>
          <w:rFonts w:ascii="Times New Roman" w:eastAsia="Times New Roman" w:hAnsi="Times New Roman" w:cs="Times New Roman"/>
          <w:b/>
          <w:bCs/>
          <w:kern w:val="0"/>
          <w:lang w:eastAsia="es-AR"/>
          <w14:ligatures w14:val="none"/>
        </w:rPr>
        <w:t>logicielles</w:t>
      </w:r>
      <w:proofErr w:type="spellEnd"/>
      <w:r w:rsidRPr="002414A0">
        <w:rPr>
          <w:rFonts w:ascii="Times New Roman" w:eastAsia="Times New Roman" w:hAnsi="Times New Roman" w:cs="Times New Roman"/>
          <w:kern w:val="0"/>
          <w:lang w:eastAsia="es-AR"/>
          <w14:ligatures w14:val="none"/>
        </w:rPr>
        <w:t>:</w:t>
      </w:r>
    </w:p>
    <w:p w14:paraId="46BB4BFC" w14:textId="77777777" w:rsidR="00DB10AF" w:rsidRPr="00DB10AF" w:rsidRDefault="00DB10AF" w:rsidP="00DB10AF">
      <w:pPr>
        <w:numPr>
          <w:ilvl w:val="1"/>
          <w:numId w:val="9"/>
        </w:num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DB10AF">
        <w:rPr>
          <w:rFonts w:ascii="Times New Roman" w:eastAsia="Times New Roman" w:hAnsi="Times New Roman" w:cs="Times New Roman"/>
          <w:kern w:val="0"/>
          <w:lang w:val="fr-FR" w:eastAsia="es-AR"/>
          <w14:ligatures w14:val="none"/>
        </w:rPr>
        <w:t xml:space="preserve">Outils CAO avec fonctions automatiques (AutoCAD, Revit avec </w:t>
      </w:r>
      <w:proofErr w:type="spellStart"/>
      <w:r w:rsidRPr="00DB10AF">
        <w:rPr>
          <w:rFonts w:ascii="Times New Roman" w:eastAsia="Times New Roman" w:hAnsi="Times New Roman" w:cs="Times New Roman"/>
          <w:kern w:val="0"/>
          <w:lang w:val="fr-FR" w:eastAsia="es-AR"/>
          <w14:ligatures w14:val="none"/>
        </w:rPr>
        <w:t>add-ons</w:t>
      </w:r>
      <w:proofErr w:type="spellEnd"/>
      <w:r w:rsidRPr="00DB10AF">
        <w:rPr>
          <w:rFonts w:ascii="Times New Roman" w:eastAsia="Times New Roman" w:hAnsi="Times New Roman" w:cs="Times New Roman"/>
          <w:kern w:val="0"/>
          <w:lang w:val="fr-FR" w:eastAsia="es-AR"/>
          <w14:ligatures w14:val="none"/>
        </w:rPr>
        <w:t xml:space="preserve"> BIM).</w:t>
      </w:r>
    </w:p>
    <w:p w14:paraId="1A5EEF7F" w14:textId="77777777" w:rsidR="00DB10AF" w:rsidRPr="00DB10AF" w:rsidRDefault="00DB10AF" w:rsidP="00DB10AF">
      <w:pPr>
        <w:numPr>
          <w:ilvl w:val="1"/>
          <w:numId w:val="9"/>
        </w:num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DB10AF">
        <w:rPr>
          <w:rFonts w:ascii="Times New Roman" w:eastAsia="Times New Roman" w:hAnsi="Times New Roman" w:cs="Times New Roman"/>
          <w:kern w:val="0"/>
          <w:lang w:val="fr-FR" w:eastAsia="es-AR"/>
          <w14:ligatures w14:val="none"/>
        </w:rPr>
        <w:t>Startups/logiciels spécialisés (par ex. sur l’automatisation du métré, l’extraction de surfaces, la détection automatique de pièces techniques).</w:t>
      </w:r>
    </w:p>
    <w:p w14:paraId="471692A9" w14:textId="77777777" w:rsidR="00DB10AF" w:rsidRPr="00DB10AF" w:rsidRDefault="00DB10AF" w:rsidP="00DB10AF">
      <w:pPr>
        <w:numPr>
          <w:ilvl w:val="1"/>
          <w:numId w:val="9"/>
        </w:num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DB10AF">
        <w:rPr>
          <w:rFonts w:ascii="Times New Roman" w:eastAsia="Times New Roman" w:hAnsi="Times New Roman" w:cs="Times New Roman"/>
          <w:kern w:val="0"/>
          <w:lang w:val="fr-FR" w:eastAsia="es-AR"/>
          <w14:ligatures w14:val="none"/>
        </w:rPr>
        <w:t>Solutions cloud ou SaaS proposant l’extraction automatique depuis PDF/scans.</w:t>
      </w:r>
    </w:p>
    <w:p w14:paraId="480527B9" w14:textId="77777777" w:rsidR="00DB10AF" w:rsidRPr="00DB10AF" w:rsidRDefault="00DB10AF" w:rsidP="00DB10AF">
      <w:pPr>
        <w:numPr>
          <w:ilvl w:val="0"/>
          <w:numId w:val="9"/>
        </w:numPr>
        <w:spacing w:before="100" w:beforeAutospacing="1" w:after="100" w:afterAutospacing="1" w:line="240" w:lineRule="auto"/>
        <w:rPr>
          <w:rFonts w:ascii="Times New Roman" w:eastAsia="Times New Roman" w:hAnsi="Times New Roman" w:cs="Times New Roman"/>
          <w:kern w:val="0"/>
          <w:lang w:val="fr-FR" w:eastAsia="es-AR"/>
          <w14:ligatures w14:val="none"/>
        </w:rPr>
      </w:pPr>
      <w:r w:rsidRPr="00DB10AF">
        <w:rPr>
          <w:rFonts w:ascii="Times New Roman" w:eastAsia="Times New Roman" w:hAnsi="Times New Roman" w:cs="Times New Roman"/>
          <w:b/>
          <w:bCs/>
          <w:kern w:val="0"/>
          <w:lang w:val="fr-FR" w:eastAsia="es-AR"/>
          <w14:ligatures w14:val="none"/>
        </w:rPr>
        <w:t>Analyse comparative</w:t>
      </w:r>
      <w:r w:rsidRPr="00DB10AF">
        <w:rPr>
          <w:rFonts w:ascii="Times New Roman" w:eastAsia="Times New Roman" w:hAnsi="Times New Roman" w:cs="Times New Roman"/>
          <w:kern w:val="0"/>
          <w:lang w:val="fr-FR" w:eastAsia="es-AR"/>
          <w14:ligatures w14:val="none"/>
        </w:rPr>
        <w:t xml:space="preserve"> : ce que ces solutions apportent déjà + ce qui reste limité (interopérabilité, généralisation, scalabilité).</w:t>
      </w:r>
    </w:p>
    <w:p w14:paraId="4F1FEEEC" w14:textId="77777777" w:rsidR="00DB10AF" w:rsidRDefault="00DB10AF" w:rsidP="00DB10AF">
      <w:pPr>
        <w:rPr>
          <w:lang w:val="fr-FR"/>
        </w:rPr>
      </w:pPr>
    </w:p>
    <w:p w14:paraId="0B2B7A01" w14:textId="05338581" w:rsidR="00F90644" w:rsidRPr="00DB10AF" w:rsidRDefault="00F90644" w:rsidP="00DB10AF">
      <w:pPr>
        <w:rPr>
          <w:lang w:val="fr-FR"/>
        </w:rPr>
      </w:pPr>
      <w:r>
        <w:rPr>
          <w:lang w:val="fr-FR"/>
        </w:rPr>
        <w:t xml:space="preserve">Les entrées </w:t>
      </w:r>
      <w:r w:rsidR="002C3AFC">
        <w:rPr>
          <w:lang w:val="fr-FR"/>
        </w:rPr>
        <w:t>et les</w:t>
      </w:r>
      <w:r>
        <w:rPr>
          <w:lang w:val="fr-FR"/>
        </w:rPr>
        <w:t xml:space="preserve"> sorties qu’ils se fait faire une ‘arbre’ voir en fonction des </w:t>
      </w:r>
      <w:proofErr w:type="spellStart"/>
      <w:r>
        <w:rPr>
          <w:lang w:val="fr-FR"/>
        </w:rPr>
        <w:t>different</w:t>
      </w:r>
      <w:proofErr w:type="spellEnd"/>
      <w:r>
        <w:rPr>
          <w:lang w:val="fr-FR"/>
        </w:rPr>
        <w:t xml:space="preserve"> type d’entrée 2D 3D techno </w:t>
      </w:r>
    </w:p>
    <w:sectPr w:rsidR="00F90644" w:rsidRPr="00DB1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6D24EFF"/>
    <w:multiLevelType w:val="multilevel"/>
    <w:tmpl w:val="AFA8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65489"/>
    <w:multiLevelType w:val="hybridMultilevel"/>
    <w:tmpl w:val="113C91AC"/>
    <w:lvl w:ilvl="0" w:tplc="7598CE8A">
      <w:start w:val="4"/>
      <w:numFmt w:val="bullet"/>
      <w:lvlText w:val="-"/>
      <w:lvlJc w:val="left"/>
      <w:pPr>
        <w:ind w:left="1065" w:hanging="360"/>
      </w:pPr>
      <w:rPr>
        <w:rFonts w:ascii="Aptos" w:eastAsiaTheme="minorHAnsi" w:hAnsi="Aptos" w:cstheme="minorBidi" w:hint="default"/>
      </w:rPr>
    </w:lvl>
    <w:lvl w:ilvl="1" w:tplc="2C0A0003">
      <w:start w:val="1"/>
      <w:numFmt w:val="bullet"/>
      <w:lvlText w:val="o"/>
      <w:lvlJc w:val="left"/>
      <w:pPr>
        <w:ind w:left="1785" w:hanging="360"/>
      </w:pPr>
      <w:rPr>
        <w:rFonts w:ascii="Courier New" w:hAnsi="Courier New" w:cs="Courier New" w:hint="default"/>
      </w:rPr>
    </w:lvl>
    <w:lvl w:ilvl="2" w:tplc="2C0A0005">
      <w:start w:val="1"/>
      <w:numFmt w:val="bullet"/>
      <w:lvlText w:val=""/>
      <w:lvlJc w:val="left"/>
      <w:pPr>
        <w:ind w:left="2505" w:hanging="360"/>
      </w:pPr>
      <w:rPr>
        <w:rFonts w:ascii="Wingdings" w:hAnsi="Wingdings" w:hint="default"/>
      </w:rPr>
    </w:lvl>
    <w:lvl w:ilvl="3" w:tplc="2C0A0001">
      <w:start w:val="1"/>
      <w:numFmt w:val="bullet"/>
      <w:lvlText w:val=""/>
      <w:lvlJc w:val="left"/>
      <w:pPr>
        <w:ind w:left="3225" w:hanging="360"/>
      </w:pPr>
      <w:rPr>
        <w:rFonts w:ascii="Symbol" w:hAnsi="Symbol" w:hint="default"/>
      </w:rPr>
    </w:lvl>
    <w:lvl w:ilvl="4" w:tplc="2C0A0003">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5"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7"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8"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9"/>
  </w:num>
  <w:num w:numId="2" w16cid:durableId="48189166">
    <w:abstractNumId w:val="5"/>
  </w:num>
  <w:num w:numId="3" w16cid:durableId="27721776">
    <w:abstractNumId w:val="7"/>
  </w:num>
  <w:num w:numId="4" w16cid:durableId="2115396278">
    <w:abstractNumId w:val="2"/>
  </w:num>
  <w:num w:numId="5" w16cid:durableId="197477822">
    <w:abstractNumId w:val="6"/>
  </w:num>
  <w:num w:numId="6" w16cid:durableId="688990630">
    <w:abstractNumId w:val="0"/>
  </w:num>
  <w:num w:numId="7" w16cid:durableId="576676017">
    <w:abstractNumId w:val="1"/>
  </w:num>
  <w:num w:numId="8" w16cid:durableId="2022927068">
    <w:abstractNumId w:val="8"/>
  </w:num>
  <w:num w:numId="9" w16cid:durableId="341400448">
    <w:abstractNumId w:val="3"/>
  </w:num>
  <w:num w:numId="10" w16cid:durableId="1582331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47FA2"/>
    <w:rsid w:val="000602B8"/>
    <w:rsid w:val="000C1AB6"/>
    <w:rsid w:val="000C7275"/>
    <w:rsid w:val="000D303C"/>
    <w:rsid w:val="000E046A"/>
    <w:rsid w:val="000E0B8B"/>
    <w:rsid w:val="000F2BC2"/>
    <w:rsid w:val="0018395A"/>
    <w:rsid w:val="001B78DC"/>
    <w:rsid w:val="0024588A"/>
    <w:rsid w:val="002B0AB2"/>
    <w:rsid w:val="002B347E"/>
    <w:rsid w:val="002C3AFC"/>
    <w:rsid w:val="002C6653"/>
    <w:rsid w:val="002C7C2E"/>
    <w:rsid w:val="002E348C"/>
    <w:rsid w:val="002F577C"/>
    <w:rsid w:val="00343A0A"/>
    <w:rsid w:val="00380011"/>
    <w:rsid w:val="003F4071"/>
    <w:rsid w:val="004116A7"/>
    <w:rsid w:val="0041322F"/>
    <w:rsid w:val="00424B58"/>
    <w:rsid w:val="00472EF7"/>
    <w:rsid w:val="004B31B9"/>
    <w:rsid w:val="00505598"/>
    <w:rsid w:val="0057106D"/>
    <w:rsid w:val="00575EC9"/>
    <w:rsid w:val="005857E5"/>
    <w:rsid w:val="0059042E"/>
    <w:rsid w:val="005B06FA"/>
    <w:rsid w:val="005B3ED6"/>
    <w:rsid w:val="005C1B11"/>
    <w:rsid w:val="005C6ADE"/>
    <w:rsid w:val="005E0F40"/>
    <w:rsid w:val="005E4F5C"/>
    <w:rsid w:val="00606DA0"/>
    <w:rsid w:val="00611B91"/>
    <w:rsid w:val="00613567"/>
    <w:rsid w:val="006C7577"/>
    <w:rsid w:val="006F4820"/>
    <w:rsid w:val="007004CB"/>
    <w:rsid w:val="00705F70"/>
    <w:rsid w:val="007D5902"/>
    <w:rsid w:val="00800566"/>
    <w:rsid w:val="00832D9A"/>
    <w:rsid w:val="00846DE3"/>
    <w:rsid w:val="008B2ACF"/>
    <w:rsid w:val="008C778C"/>
    <w:rsid w:val="008D4D1F"/>
    <w:rsid w:val="008D626B"/>
    <w:rsid w:val="008F1D6E"/>
    <w:rsid w:val="0094359F"/>
    <w:rsid w:val="009508AA"/>
    <w:rsid w:val="00967151"/>
    <w:rsid w:val="009735CA"/>
    <w:rsid w:val="009A3D35"/>
    <w:rsid w:val="009E3BBD"/>
    <w:rsid w:val="00A01407"/>
    <w:rsid w:val="00A25728"/>
    <w:rsid w:val="00A547E6"/>
    <w:rsid w:val="00AB721A"/>
    <w:rsid w:val="00B57EA7"/>
    <w:rsid w:val="00B8179C"/>
    <w:rsid w:val="00B84096"/>
    <w:rsid w:val="00BA18D3"/>
    <w:rsid w:val="00BF39D4"/>
    <w:rsid w:val="00BF407A"/>
    <w:rsid w:val="00C87614"/>
    <w:rsid w:val="00CB79EC"/>
    <w:rsid w:val="00CC5B4E"/>
    <w:rsid w:val="00CC75CA"/>
    <w:rsid w:val="00D12DD8"/>
    <w:rsid w:val="00DA5A03"/>
    <w:rsid w:val="00DB10AF"/>
    <w:rsid w:val="00E5718C"/>
    <w:rsid w:val="00E62809"/>
    <w:rsid w:val="00E70C34"/>
    <w:rsid w:val="00E77EC3"/>
    <w:rsid w:val="00EE17CA"/>
    <w:rsid w:val="00EE7AB1"/>
    <w:rsid w:val="00F40FF9"/>
    <w:rsid w:val="00F410EB"/>
    <w:rsid w:val="00F70DFC"/>
    <w:rsid w:val="00F80ABC"/>
    <w:rsid w:val="00F85614"/>
    <w:rsid w:val="00F906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unhideWhenUsed/>
    <w:qFormat/>
    <w:rsid w:val="009A3D35"/>
    <w:pPr>
      <w:keepNext/>
      <w:keepLines/>
      <w:spacing w:before="160" w:after="8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rsid w:val="009A3D35"/>
    <w:rPr>
      <w:rFonts w:eastAsiaTheme="majorEastAsia" w:cstheme="majorBidi"/>
      <w:color w:val="000000" w:themeColor="text1"/>
      <w:sz w:val="28"/>
      <w:szCs w:val="28"/>
      <w:u w:val="single"/>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2283</TotalTime>
  <Pages>2</Pages>
  <Words>780</Words>
  <Characters>4295</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33</cp:revision>
  <dcterms:created xsi:type="dcterms:W3CDTF">2025-09-09T07:26:00Z</dcterms:created>
  <dcterms:modified xsi:type="dcterms:W3CDTF">2025-10-07T12:05:00Z</dcterms:modified>
</cp:coreProperties>
</file>