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svy8bjrdt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Dettagli delle VLAN: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VLAN 10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Amministrazione</w:t>
      </w:r>
      <w:r w:rsidDel="00000000" w:rsidR="00000000" w:rsidRPr="00000000">
        <w:rPr>
          <w:rtl w:val="0"/>
        </w:rPr>
        <w:t xml:space="preserve">: per gli utenti che gestiscono la parte amministrativa dell'azienda (host zona centrale).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VLAN 20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Tecnologia</w:t>
      </w:r>
      <w:r w:rsidDel="00000000" w:rsidR="00000000" w:rsidRPr="00000000">
        <w:rPr>
          <w:rtl w:val="0"/>
        </w:rPr>
        <w:t xml:space="preserve">: per gli utenti che possono accedere ai server (server in alto).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VLAN 30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: per il team di vendite e marketing, che accede tramite la postazioi di destra e solo al server mail.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VLAN 40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: per i dispositivi dei visitatori o dispositivi mobili, isolati dalle altre VLAN per evitare rischi di sicurezza.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Come si può notare in basso dal report dei PDU, le reti sono isolate.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