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Pr="00567B9C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740B5E" w:rsidRDefault="00BE73B0">
          <w:pPr>
            <w:pStyle w:val="ad"/>
            <w:rPr>
              <w:rFonts w:ascii="Arial" w:hAnsi="Arial" w:cs="Arial"/>
              <w:color w:val="auto"/>
              <w:sz w:val="24"/>
              <w:szCs w:val="24"/>
            </w:rPr>
          </w:pPr>
          <w:r w:rsidRPr="00740B5E">
            <w:rPr>
              <w:rFonts w:ascii="Arial" w:hAnsi="Arial" w:cs="Arial"/>
              <w:color w:val="auto"/>
              <w:sz w:val="24"/>
              <w:szCs w:val="24"/>
            </w:rPr>
            <w:t>Оглавление</w:t>
          </w:r>
        </w:p>
        <w:p w:rsidR="00DE75D6" w:rsidRPr="00DE75D6" w:rsidRDefault="00BE73B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DE75D6">
            <w:rPr>
              <w:rFonts w:ascii="Arial" w:hAnsi="Arial" w:cs="Arial"/>
              <w:sz w:val="24"/>
              <w:szCs w:val="24"/>
            </w:rPr>
            <w:fldChar w:fldCharType="begin"/>
          </w:r>
          <w:r w:rsidRPr="00DE75D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E75D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5793828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Введение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_Toc515793828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3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29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Описание предметной области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_Toc515793829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3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0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Неформальная постановка задачи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_Toc515793830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4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1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Постановка задачи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_Toc515793831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6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2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Требования к окружению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_Toc515793832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6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3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Требования к аппаратному обеспечению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_Toc515793833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6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4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Требования к программному обеспечению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_Toc515793834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6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5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Спецификация данных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_Toc515793835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7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6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Формат данных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_Toc515793836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7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7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Требования к интерфейсу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_Toc515793837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14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8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Интерфейс командной строки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_Toc515793838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14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39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Графический интерфейс пользователя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_Toc515793839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15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0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Проект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_Toc515793840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20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1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Описание метода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_Toc515793841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22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2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Извлечение именованных сущностей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_Toc515793842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22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3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Оценка качества модели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_Toc515793843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26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4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Результаты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_Toc515793844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27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5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Извлечение библиографических ссылок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_Toc515793845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28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6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Извлечение локаций с координатной привязкой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_Toc515793846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29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7" w:history="1">
            <w:r w:rsidR="00DE75D6" w:rsidRPr="00DE75D6">
              <w:rPr>
                <w:rStyle w:val="a5"/>
                <w:rFonts w:ascii="Arial" w:hAnsi="Arial" w:cs="Arial"/>
                <w:noProof/>
              </w:rPr>
              <w:t>Извлечение ключевых слов и словосочетаний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_Toc515793847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30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DE75D6" w:rsidRPr="00DE75D6" w:rsidRDefault="00DA015B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793848" w:history="1">
            <w:r w:rsidR="00DE75D6" w:rsidRPr="00DE75D6">
              <w:rPr>
                <w:rStyle w:val="a5"/>
                <w:rFonts w:ascii="Arial" w:hAnsi="Arial" w:cs="Arial"/>
                <w:noProof/>
              </w:rPr>
              <w:t xml:space="preserve">Добавление метаописаний в систему </w:t>
            </w:r>
            <w:r w:rsidR="00DE75D6" w:rsidRPr="00DE75D6">
              <w:rPr>
                <w:rStyle w:val="a5"/>
                <w:rFonts w:ascii="Arial" w:hAnsi="Arial" w:cs="Arial"/>
                <w:noProof/>
                <w:lang w:val="en-US"/>
              </w:rPr>
              <w:t>GeoNetwork</w:t>
            </w:r>
            <w:r w:rsidR="00DE75D6" w:rsidRPr="00DE75D6">
              <w:rPr>
                <w:noProof/>
                <w:webHidden/>
              </w:rPr>
              <w:tab/>
            </w:r>
            <w:r w:rsidR="00DE75D6" w:rsidRPr="00DE75D6">
              <w:rPr>
                <w:noProof/>
                <w:webHidden/>
              </w:rPr>
              <w:fldChar w:fldCharType="begin"/>
            </w:r>
            <w:r w:rsidR="00DE75D6" w:rsidRPr="00DE75D6">
              <w:rPr>
                <w:noProof/>
                <w:webHidden/>
              </w:rPr>
              <w:instrText xml:space="preserve"> PAGEREF _Toc515793848 \h </w:instrText>
            </w:r>
            <w:r w:rsidR="00DE75D6" w:rsidRPr="00DE75D6">
              <w:rPr>
                <w:noProof/>
                <w:webHidden/>
              </w:rPr>
            </w:r>
            <w:r w:rsidR="00DE75D6" w:rsidRPr="00DE75D6">
              <w:rPr>
                <w:noProof/>
                <w:webHidden/>
              </w:rPr>
              <w:fldChar w:fldCharType="separate"/>
            </w:r>
            <w:r w:rsidR="00DE75D6" w:rsidRPr="00DE75D6">
              <w:rPr>
                <w:noProof/>
                <w:webHidden/>
              </w:rPr>
              <w:t>30</w:t>
            </w:r>
            <w:r w:rsidR="00DE75D6" w:rsidRPr="00DE75D6">
              <w:rPr>
                <w:noProof/>
                <w:webHidden/>
              </w:rPr>
              <w:fldChar w:fldCharType="end"/>
            </w:r>
          </w:hyperlink>
        </w:p>
        <w:p w:rsidR="00BE73B0" w:rsidRPr="00DE75D6" w:rsidRDefault="00BE73B0">
          <w:pPr>
            <w:rPr>
              <w:rFonts w:ascii="Arial" w:hAnsi="Arial" w:cs="Arial"/>
              <w:sz w:val="24"/>
              <w:szCs w:val="24"/>
            </w:rPr>
          </w:pPr>
          <w:r w:rsidRPr="00DE75D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Pr="00DE75D6" w:rsidRDefault="00016C1B">
      <w:pPr>
        <w:rPr>
          <w:rFonts w:ascii="Times New Roman" w:hAnsi="Times New Roman" w:cs="Times New Roman"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6AD7" w:rsidRPr="00A11F1E" w:rsidRDefault="003D235E" w:rsidP="00DE75D6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Toc515793828"/>
      <w:r w:rsidRPr="00BE73B0">
        <w:rPr>
          <w:rFonts w:ascii="Arial" w:hAnsi="Arial" w:cs="Arial"/>
          <w:b/>
          <w:color w:val="auto"/>
          <w:sz w:val="28"/>
          <w:szCs w:val="28"/>
        </w:rPr>
        <w:lastRenderedPageBreak/>
        <w:t>Введение</w:t>
      </w:r>
      <w:bookmarkEnd w:id="0"/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5793829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1"/>
    </w:p>
    <w:p w:rsidR="00DE75D6" w:rsidRPr="00E133F6" w:rsidRDefault="00DE75D6" w:rsidP="00DE75D6">
      <w:pPr>
        <w:rPr>
          <w:rFonts w:ascii="Times New Roman" w:hAnsi="Times New Roman" w:cs="Times New Roman"/>
          <w:sz w:val="24"/>
          <w:szCs w:val="24"/>
        </w:rPr>
      </w:pPr>
      <w:r w:rsidRPr="00E133F6">
        <w:rPr>
          <w:rFonts w:ascii="Times New Roman" w:hAnsi="Times New Roman" w:cs="Times New Roman"/>
          <w:sz w:val="24"/>
          <w:szCs w:val="24"/>
        </w:rPr>
        <w:t>В период с 16.04.2018 г. по 09.06.2018 г. я проходил преддипломную практику в ФГБНУ «ТИНРО-Центр».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 xml:space="preserve">Тихоокеанский научно-исследовательский </w:t>
      </w:r>
      <w:proofErr w:type="spellStart"/>
      <w:r w:rsidRPr="006E1517">
        <w:rPr>
          <w:bCs/>
        </w:rPr>
        <w:t>рыбохозяйственный</w:t>
      </w:r>
      <w:proofErr w:type="spellEnd"/>
      <w:r w:rsidRPr="006E1517">
        <w:rPr>
          <w:bCs/>
        </w:rPr>
        <w:t xml:space="preserve">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</w:t>
      </w:r>
      <w:proofErr w:type="spellStart"/>
      <w:r w:rsidRPr="006E1517">
        <w:t>рыбохозяйственной</w:t>
      </w:r>
      <w:proofErr w:type="spellEnd"/>
      <w:r w:rsidRPr="006E1517">
        <w:t xml:space="preserve">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8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9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0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ТИНРО-Центр объединяет все дальневосточные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рыбохозяйственные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научные организации и координирует исследования на дальневосточном рыбопромысловом бассейне. Интеграция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в последние годы особенно стала актуальной. Следствием этого стало создание в 2000 г. единой дальневосточной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North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Pacific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Marine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Science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Organization</w:t>
      </w:r>
      <w:proofErr w:type="spellEnd"/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1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</w:t>
      </w:r>
      <w:proofErr w:type="gramEnd"/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>, которая была создана в 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r w:rsidR="000471F5" w:rsidRPr="006E1517">
        <w:rPr>
          <w:rFonts w:ascii="Times New Roman" w:hAnsi="Times New Roman" w:cs="Times New Roman"/>
          <w:sz w:val="24"/>
          <w:szCs w:val="24"/>
        </w:rPr>
        <w:t>информации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proofErr w:type="spellStart"/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GeoNetwork</w:t>
      </w:r>
      <w:proofErr w:type="spellEnd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hAnsi="Times New Roman" w:cs="Times New Roman"/>
          <w:sz w:val="24"/>
          <w:szCs w:val="24"/>
        </w:rPr>
        <w:t>GeoNetwork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0471F5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Составление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метаописаний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– это многоэтапный процесс. Данные проходя</w:t>
      </w:r>
      <w:r w:rsidR="000F04C7">
        <w:rPr>
          <w:rFonts w:ascii="Times New Roman" w:hAnsi="Times New Roman" w:cs="Times New Roman"/>
          <w:color w:val="252525"/>
          <w:sz w:val="24"/>
          <w:szCs w:val="24"/>
        </w:rPr>
        <w:t>т несколько стад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ий проверок качества, прежде чем быть опубликованными для публичного просмотра. 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Сейчас </w:t>
      </w:r>
      <w:proofErr w:type="spellStart"/>
      <w:r w:rsidR="00797832">
        <w:rPr>
          <w:rFonts w:ascii="Times New Roman" w:hAnsi="Times New Roman" w:cs="Times New Roman"/>
          <w:color w:val="252525"/>
          <w:sz w:val="24"/>
          <w:szCs w:val="24"/>
        </w:rPr>
        <w:t>метаописания</w:t>
      </w:r>
      <w:proofErr w:type="spellEnd"/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составляются вручную. Из-за </w:t>
      </w:r>
      <w:r w:rsidR="001B1B2E">
        <w:rPr>
          <w:rFonts w:ascii="Times New Roman" w:hAnsi="Times New Roman" w:cs="Times New Roman"/>
          <w:color w:val="252525"/>
          <w:sz w:val="24"/>
          <w:szCs w:val="24"/>
        </w:rPr>
        <w:t>того, что это затратный по времени процесс,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 xml:space="preserve"> возникла необходимость</w:t>
      </w:r>
      <w:r w:rsidR="00436B63">
        <w:rPr>
          <w:rFonts w:ascii="Times New Roman" w:hAnsi="Times New Roman" w:cs="Times New Roman"/>
          <w:color w:val="252525"/>
          <w:sz w:val="24"/>
          <w:szCs w:val="24"/>
        </w:rPr>
        <w:t xml:space="preserve"> его автоматизаци</w:t>
      </w:r>
      <w:r w:rsidR="00935528">
        <w:rPr>
          <w:rFonts w:ascii="Times New Roman" w:hAnsi="Times New Roman" w:cs="Times New Roman"/>
          <w:color w:val="252525"/>
          <w:sz w:val="24"/>
          <w:szCs w:val="24"/>
        </w:rPr>
        <w:t>и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5793830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2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</w:t>
      </w:r>
      <w:r w:rsidR="00B34868">
        <w:rPr>
          <w:rFonts w:ascii="Times New Roman" w:hAnsi="Times New Roman" w:cs="Times New Roman"/>
          <w:sz w:val="24"/>
          <w:szCs w:val="24"/>
        </w:rPr>
        <w:t>ах, которые они соответствуют), ключевых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слова</w:t>
      </w:r>
      <w:r w:rsidR="00B34868">
        <w:rPr>
          <w:rFonts w:ascii="Times New Roman" w:hAnsi="Times New Roman" w:cs="Times New Roman"/>
          <w:sz w:val="24"/>
          <w:szCs w:val="24"/>
        </w:rPr>
        <w:t>х, авторах, и т. д</w:t>
      </w:r>
      <w:r w:rsidRPr="0033532E">
        <w:rPr>
          <w:rFonts w:ascii="Times New Roman" w:hAnsi="Times New Roman" w:cs="Times New Roman"/>
          <w:sz w:val="24"/>
          <w:szCs w:val="24"/>
        </w:rPr>
        <w:t>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91A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0B591A" w:rsidRPr="0033532E">
        <w:rPr>
          <w:rFonts w:ascii="Times New Roman" w:hAnsi="Times New Roman" w:cs="Times New Roman"/>
          <w:sz w:val="24"/>
          <w:szCs w:val="24"/>
        </w:rPr>
        <w:t xml:space="preserve">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</w:t>
      </w:r>
      <w:r w:rsidR="000B591A"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Под термином именованная сущность (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ое делает задачу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3" w:name="_Toc515793831"/>
      <w:r w:rsidRPr="00B93706">
        <w:rPr>
          <w:rFonts w:ascii="Arial" w:hAnsi="Arial" w:cs="Arial"/>
          <w:b/>
          <w:color w:val="auto"/>
          <w:sz w:val="22"/>
          <w:szCs w:val="22"/>
        </w:rPr>
        <w:lastRenderedPageBreak/>
        <w:t>Постановка задачи</w:t>
      </w:r>
      <w:bookmarkEnd w:id="3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 xml:space="preserve"> из документов с последующим редактированием и публикацией в системе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Реализовать клиентское приложение для системы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91F" w:rsidRPr="00DE75D6" w:rsidRDefault="00746183" w:rsidP="00DE75D6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4" w:name="_Toc515793835"/>
      <w:r w:rsidRPr="008F2C1E">
        <w:rPr>
          <w:rFonts w:ascii="Arial" w:hAnsi="Arial" w:cs="Arial"/>
          <w:b/>
          <w:color w:val="auto"/>
          <w:sz w:val="28"/>
          <w:szCs w:val="28"/>
        </w:rPr>
        <w:t>Спецификация данных</w:t>
      </w:r>
      <w:bookmarkEnd w:id="4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5" w:name="_Toc515793836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5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p w:rsidR="00DF71F8" w:rsidRDefault="00DF71F8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4814" w:type="dxa"/>
          </w:tcPr>
          <w:p w:rsidR="00C4413C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9F7C31" w:rsidRPr="00141408" w:rsidTr="00C4413C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1872C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метаданные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Область, край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Почтовый или другой индекс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Страна</w:t>
            </w:r>
          </w:p>
        </w:tc>
      </w:tr>
      <w:tr w:rsidR="009F7C31" w:rsidRPr="00141408" w:rsidTr="001872C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6B691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6B6914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9F7C31" w:rsidTr="006B6914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  <w:proofErr w:type="spellEnd"/>
          </w:p>
        </w:tc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Информация о данных</w:t>
            </w:r>
          </w:p>
        </w:tc>
      </w:tr>
      <w:tr w:rsidR="009F7C31" w:rsidRPr="006B6914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9F7C31" w:rsidRPr="006B6914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Tr="006B691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DB32FE" w:rsidTr="00F82A93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DB32FE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C71103" w:rsidTr="00F82A93">
        <w:tc>
          <w:tcPr>
            <w:tcW w:w="4814" w:type="dxa"/>
          </w:tcPr>
          <w:p w:rsidR="00C71103" w:rsidRPr="009F7C31" w:rsidRDefault="00C71103" w:rsidP="00C711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C71103" w:rsidRPr="009F7C31" w:rsidRDefault="00C71103" w:rsidP="00C7110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C71103" w:rsidTr="00F82A93">
        <w:tc>
          <w:tcPr>
            <w:tcW w:w="4814" w:type="dxa"/>
          </w:tcPr>
          <w:p w:rsidR="00C71103" w:rsidRPr="00141408" w:rsidRDefault="00C71103" w:rsidP="00C711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  <w:proofErr w:type="spellEnd"/>
          </w:p>
        </w:tc>
        <w:tc>
          <w:tcPr>
            <w:tcW w:w="4814" w:type="dxa"/>
          </w:tcPr>
          <w:p w:rsidR="00C71103" w:rsidRPr="00141408" w:rsidRDefault="00C71103" w:rsidP="00C71103">
            <w:pPr>
              <w:tabs>
                <w:tab w:val="left" w:pos="10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9F7C31" w:rsidRP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9F7C31" w:rsidRPr="00F82A93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Область, край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Почтовый или другой индекс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Страна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 электронной почты</w:t>
            </w:r>
          </w:p>
        </w:tc>
      </w:tr>
    </w:tbl>
    <w:p w:rsidR="00F82A93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9F7C31" w:rsidRPr="00853454" w:rsidRDefault="009F7C31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F82A93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F82A93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9F7C31" w:rsidTr="00F82A93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9F7C31" w:rsidRPr="00DB32FE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tabs>
                <w:tab w:val="left" w:pos="14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westBoundLongitude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tabs>
                <w:tab w:val="left" w:pos="11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eastBoundLongitude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southBoundLatitude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9F7C31" w:rsidTr="00F82A93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northBoundLatitude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7753D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&gt;keyword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7753D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данных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DF71F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F7C31" w:rsidRPr="00141408" w:rsidTr="007753D6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7753D6" w:rsidRPr="009F7C31" w:rsidRDefault="00853454" w:rsidP="009F7C31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тандарт для описания цифровых </w:t>
      </w:r>
      <w:proofErr w:type="spellStart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геопространственных</w:t>
      </w:r>
      <w:proofErr w:type="spellEnd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85345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методанных</w:t>
            </w:r>
            <w:proofErr w:type="spellEnd"/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descript &gt;abstract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descript &gt;purpose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descript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Временной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диапозон</w:t>
            </w:r>
            <w:proofErr w:type="spellEnd"/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begdate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&gt;current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9F7C31" w:rsidRPr="00DF71F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&gt;progress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Complete",</w:t>
            </w:r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</w:t>
            </w:r>
            <w:proofErr w:type="spellEnd"/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work"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</w:t>
            </w:r>
            <w:proofErr w:type="spellEnd"/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&gt;update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Continually</w:t>
            </w:r>
            <w:proofErr w:type="spellEnd"/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Daily</w:t>
            </w:r>
            <w:proofErr w:type="spellEnd"/>
            <w:proofErr w:type="gramStart"/>
            <w:r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085D99" w:rsidRPr="00E133F6" w:rsidRDefault="00141408" w:rsidP="00E133F6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RPr="00141408" w:rsidTr="00853454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Ссылка для набора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Режим, в котором представлены </w:t>
            </w:r>
            <w:proofErr w:type="spellStart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геопространственные</w:t>
            </w:r>
            <w:proofErr w:type="spell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данные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pubplace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9F7C31" w:rsidRPr="00141408" w:rsidTr="00853454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9F7C31" w:rsidTr="00BC6A52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провинция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9F7C31" w:rsidTr="00BC6A52">
        <w:tc>
          <w:tcPr>
            <w:tcW w:w="4814" w:type="dxa"/>
          </w:tcPr>
          <w:p w:rsidR="009F7C31" w:rsidRPr="00CD4EC7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  <w:proofErr w:type="spellEnd"/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7C31" w:rsidTr="00BC6A52"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Поле</w:t>
            </w:r>
          </w:p>
        </w:tc>
        <w:tc>
          <w:tcPr>
            <w:tcW w:w="4814" w:type="dxa"/>
          </w:tcPr>
          <w:p w:rsidR="009F7C31" w:rsidRPr="009F7C31" w:rsidRDefault="009F7C31" w:rsidP="009F7C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C31">
              <w:rPr>
                <w:rFonts w:ascii="Times New Roman" w:hAnsi="Times New Roman" w:cs="Times New Roman"/>
                <w:b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themekt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9F7C31" w:rsidTr="00BC6A52"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themekey</w:t>
            </w:r>
            <w:proofErr w:type="spellEnd"/>
          </w:p>
        </w:tc>
        <w:tc>
          <w:tcPr>
            <w:tcW w:w="4814" w:type="dxa"/>
          </w:tcPr>
          <w:p w:rsidR="009F7C31" w:rsidRPr="00141408" w:rsidRDefault="009F7C31" w:rsidP="009F7C3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846A93" w:rsidRPr="00DE75D6" w:rsidRDefault="00846A93" w:rsidP="00DE75D6">
      <w:pPr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7" w:name="_Toc515793837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7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5793838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5F404C" w:rsidRDefault="005F404C" w:rsidP="005F40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404C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4814" w:type="dxa"/>
          </w:tcPr>
          <w:p w:rsidR="00846A93" w:rsidRPr="005F404C" w:rsidRDefault="005F404C" w:rsidP="005F40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proofErr w:type="spellEnd"/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  <w:proofErr w:type="spellEnd"/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metaTitle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metaContent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metaName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metaLocation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metaKeyWord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metaRef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5F404C" w:rsidTr="00846A93"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metaAll</w:t>
            </w:r>
            <w:proofErr w:type="spellEnd"/>
          </w:p>
        </w:tc>
        <w:tc>
          <w:tcPr>
            <w:tcW w:w="4814" w:type="dxa"/>
          </w:tcPr>
          <w:p w:rsidR="005F404C" w:rsidRPr="00846A93" w:rsidRDefault="005F404C" w:rsidP="005F40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9" w:name="_Toc515793839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9"/>
    </w:p>
    <w:p w:rsidR="0038626B" w:rsidRPr="007D6164" w:rsidRDefault="0038626B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использовалась библиотека </w:t>
      </w:r>
      <w:proofErr w:type="spellStart"/>
      <w:r w:rsidRPr="007D6164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>5.</w:t>
      </w:r>
    </w:p>
    <w:p w:rsidR="003D5F31" w:rsidRPr="007D6164" w:rsidRDefault="003D5F31" w:rsidP="0038626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DF71F8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52.5pt">
            <v:imagedata r:id="rId12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  <w:lang w:val="en-US"/>
        </w:rPr>
        <w:t>Toolbar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>Меню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Кнопка загрузки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D6164">
        <w:rPr>
          <w:rFonts w:ascii="Times New Roman" w:hAnsi="Times New Roman" w:cs="Times New Roman"/>
          <w:sz w:val="24"/>
          <w:szCs w:val="24"/>
        </w:rPr>
        <w:t>файла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6164">
        <w:rPr>
          <w:rFonts w:ascii="Times New Roman" w:hAnsi="Times New Roman" w:cs="Times New Roman"/>
          <w:sz w:val="24"/>
          <w:szCs w:val="24"/>
        </w:rPr>
        <w:t>Чекбоксы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 xml:space="preserve"> для выбора, какие метаданные необходимо извлекать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 xml:space="preserve">Выбор формата для </w:t>
      </w:r>
      <w:proofErr w:type="spellStart"/>
      <w:r w:rsidRPr="007D6164">
        <w:rPr>
          <w:rFonts w:ascii="Times New Roman" w:hAnsi="Times New Roman" w:cs="Times New Roman"/>
          <w:sz w:val="24"/>
          <w:szCs w:val="24"/>
        </w:rPr>
        <w:t>сохранания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 xml:space="preserve"> метаданных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D616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D6164">
        <w:rPr>
          <w:rFonts w:ascii="Times New Roman" w:hAnsi="Times New Roman" w:cs="Times New Roman"/>
          <w:sz w:val="24"/>
          <w:szCs w:val="24"/>
          <w:lang w:val="en-US"/>
        </w:rPr>
        <w:t>iso</w:t>
      </w:r>
      <w:proofErr w:type="spellEnd"/>
      <w:r w:rsidRPr="007D6164">
        <w:rPr>
          <w:rFonts w:ascii="Times New Roman" w:hAnsi="Times New Roman" w:cs="Times New Roman"/>
          <w:sz w:val="24"/>
          <w:szCs w:val="24"/>
        </w:rPr>
        <w:t>19115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D6164">
        <w:rPr>
          <w:rFonts w:ascii="Times New Roman" w:hAnsi="Times New Roman" w:cs="Times New Roman"/>
          <w:sz w:val="24"/>
          <w:szCs w:val="24"/>
        </w:rPr>
        <w:t xml:space="preserve">2 / </w:t>
      </w:r>
      <w:r w:rsidRPr="007D6164"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для извлечения метаданных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Кнопка сохранения метаданных в указанном формате из пункта 5</w:t>
      </w:r>
    </w:p>
    <w:p w:rsidR="006F6DB3" w:rsidRPr="007D6164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164">
        <w:rPr>
          <w:rFonts w:ascii="Times New Roman" w:hAnsi="Times New Roman" w:cs="Times New Roman"/>
          <w:sz w:val="24"/>
          <w:szCs w:val="24"/>
        </w:rPr>
        <w:t>Вкладки с метаинформацией</w:t>
      </w:r>
    </w:p>
    <w:p w:rsidR="006F6DB3" w:rsidRDefault="00DF71F8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297.75pt;height:275.25pt">
            <v:imagedata r:id="rId13" o:title="Screenshot_1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Вкладка с основной информацией</w:t>
      </w:r>
    </w:p>
    <w:p w:rsidR="006F6DB3" w:rsidRDefault="00DF71F8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292.5pt;height:270.75pt">
            <v:imagedata r:id="rId14" o:title="Screenshot_6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Toolbar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контактном лице, ответственном за данные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DF71F8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278.25pt;height:256.5pt">
            <v:imagedata r:id="rId15" o:title="Screenshot_2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об авторах данных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DF71F8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290.25pt;height:267.75pt">
            <v:imagedata r:id="rId16" o:title="Screenshot_3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 w:rsidR="00E35A34">
        <w:rPr>
          <w:rFonts w:ascii="Times New Roman" w:hAnsi="Times New Roman" w:cs="Times New Roman"/>
          <w:color w:val="000000" w:themeColor="text1"/>
          <w:sz w:val="24"/>
          <w:szCs w:val="24"/>
        </w:rPr>
        <w:t>ключевыми словами и словосочетаниями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DF71F8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288.75pt;height:269.25pt">
            <v:imagedata r:id="rId17" o:title="Screenshot_4"/>
          </v:shape>
        </w:pict>
      </w:r>
    </w:p>
    <w:p w:rsid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lastRenderedPageBreak/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72682E" w:rsidRPr="0072682E" w:rsidRDefault="0072682E" w:rsidP="0072682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информацией о координатах географических объектах</w:t>
      </w:r>
    </w:p>
    <w:p w:rsidR="0072682E" w:rsidRPr="00F570D9" w:rsidRDefault="0072682E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F6DB3" w:rsidRDefault="00DF71F8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294pt;height:273pt">
            <v:imagedata r:id="rId18" o:title="Screenshot_5"/>
          </v:shape>
        </w:pict>
      </w:r>
    </w:p>
    <w:p w:rsidR="006F6DB3" w:rsidRDefault="00F570D9" w:rsidP="00A96DD4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</w:rPr>
        <w:t>Меню</w:t>
      </w:r>
    </w:p>
    <w:p w:rsidR="00E35A34" w:rsidRPr="00E35A34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A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Toolbar</w:t>
      </w:r>
    </w:p>
    <w:p w:rsidR="00E35A34" w:rsidRPr="0072682E" w:rsidRDefault="00E35A34" w:rsidP="00E35A3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>Вкладки</w:t>
      </w:r>
    </w:p>
    <w:p w:rsidR="00E35A34" w:rsidRPr="00DE75D6" w:rsidRDefault="00E35A34" w:rsidP="00DE75D6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Вкладка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библиографическими ссылками</w:t>
      </w: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0" w:name="_Toc515793840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0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строит дерево разбора, что помогает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DA015B" w:rsidP="00B86D1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235.5pt;height:578.25pt">
            <v:imagedata r:id="rId19" o:title="Untitled Diagram (1)"/>
          </v:shape>
        </w:pict>
      </w:r>
    </w:p>
    <w:p w:rsidR="00D902E6" w:rsidRPr="00D902E6" w:rsidRDefault="00D902E6" w:rsidP="00D902E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Рис. </w:t>
      </w:r>
      <w:r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8</w:t>
      </w:r>
      <w:r w:rsidRPr="00D902E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 w:rsidRPr="00D902E6">
        <w:rPr>
          <w:rFonts w:ascii="Times New Roman" w:hAnsi="Times New Roman" w:cs="Times New Roman"/>
          <w:i/>
          <w:sz w:val="24"/>
          <w:szCs w:val="24"/>
        </w:rPr>
        <w:t>Архитектура системы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lastRenderedPageBreak/>
        <w:t xml:space="preserve">OGC - протокол для публикации и доступа к цифровым каталогам </w:t>
      </w:r>
      <w:proofErr w:type="spellStart"/>
      <w:r w:rsidRPr="008307C9">
        <w:rPr>
          <w:rFonts w:ascii="Times New Roman" w:hAnsi="Times New Roman" w:cs="Times New Roman"/>
          <w:color w:val="252525"/>
          <w:sz w:val="24"/>
          <w:szCs w:val="24"/>
        </w:rPr>
        <w:t>геопространственных</w:t>
      </w:r>
      <w:proofErr w:type="spellEnd"/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515793841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t>Описание метода</w:t>
      </w:r>
      <w:bookmarkEnd w:id="11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515793842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2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5F404C" w:rsidRDefault="000B149B" w:rsidP="00616B7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F4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4814" w:type="dxa"/>
          </w:tcPr>
          <w:p w:rsidR="000B149B" w:rsidRPr="005F404C" w:rsidRDefault="000B149B" w:rsidP="00616B76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F4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  <w:proofErr w:type="spellEnd"/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 xml:space="preserve">Пример </w:t>
      </w:r>
      <w:proofErr w:type="spellStart"/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теггирования</w:t>
      </w:r>
      <w:proofErr w:type="spellEnd"/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616B76" w:rsidRPr="0059047F" w:rsidRDefault="00CE5EDE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задачи определения тега слова в том, что нельзя рассматривать каждое слово в отдельности. Например,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имеет тег ‘место’ и состоит из двух слов. Следовательно, нужно, чтобы модель имела память, и при встрече слова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</w:t>
      </w:r>
      <w:r w:rsidR="00B86D1F" w:rsidRPr="005229A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9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</w:t>
      </w: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Долгая краткосрочная память или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short-term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memory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этого используется алгоритм 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</w:rPr>
        <w:t>GloVe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</w:t>
      </w:r>
      <w:proofErr w:type="gram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DA015B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-символы 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слова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proofErr w:type="gramStart"/>
      <w:r w:rsidR="00A96DD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объединение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r w:rsidR="003338DD"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слово,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где каждая ко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мпонента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DA015B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DA015B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7A0075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ектора тегов </w:t>
      </w:r>
      <w:proofErr w:type="gramStart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</w:t>
      </w:r>
      <w:proofErr w:type="gram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, для последовательност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и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начина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ющейся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иметь вид:</w:t>
      </w:r>
    </w:p>
    <w:p w:rsidR="00616B76" w:rsidRPr="0059047F" w:rsidRDefault="00DA015B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1…m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)</m:t>
                </m:r>
              </m:sup>
            </m:sSup>
          </m:e>
        </m:nary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Тогда:</w:t>
      </w:r>
    </w:p>
    <w:p w:rsidR="00616B76" w:rsidRPr="0059047F" w:rsidRDefault="00DA015B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t+2…m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  <w:lang w:val="en-US"/>
                            </w:rPr>
                            <m:t>t+1</m:t>
                          </m:r>
                        </m:sub>
                      </m:sSub>
                    </m:e>
                  </m:d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DA015B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энтропийная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функция</w:t>
      </w:r>
    </w:p>
    <w:p w:rsidR="00FC4FCA" w:rsidRPr="00FC4FCA" w:rsidRDefault="00616B76" w:rsidP="0080688B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3" w:name="_Toc515793843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3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proofErr w:type="spell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 xml:space="preserve">P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w:lastRenderedPageBreak/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</w:t>
      </w:r>
      <w:proofErr w:type="gramStart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Истинные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Оценка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сист</w:t>
            </w:r>
            <w:proofErr w:type="spellEnd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1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14" w:name="_Toc515793844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14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); имена 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люжей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4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proofErr w:type="spellStart"/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proofErr w:type="spellStart"/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  <w:tr w:rsidR="00C33AB6" w:rsidRPr="0059047F" w:rsidTr="006E0674">
        <w:tc>
          <w:tcPr>
            <w:tcW w:w="1869" w:type="dxa"/>
          </w:tcPr>
          <w:p w:rsidR="00C33AB6" w:rsidRPr="005F404C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GROBID</w:t>
            </w:r>
          </w:p>
        </w:tc>
        <w:tc>
          <w:tcPr>
            <w:tcW w:w="1869" w:type="dxa"/>
          </w:tcPr>
          <w:p w:rsidR="00C33AB6" w:rsidRPr="00C33AB6" w:rsidRDefault="00C33AB6" w:rsidP="00C33AB6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98.97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90.72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90.18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90.45</w:t>
            </w:r>
          </w:p>
        </w:tc>
      </w:tr>
      <w:tr w:rsidR="00EC7D22" w:rsidRPr="0059047F" w:rsidTr="00EC7D22">
        <w:trPr>
          <w:trHeight w:val="252"/>
        </w:trPr>
        <w:tc>
          <w:tcPr>
            <w:tcW w:w="1869" w:type="dxa"/>
          </w:tcPr>
          <w:p w:rsidR="00EC7D22" w:rsidRPr="005F404C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CERMINE</w:t>
            </w:r>
          </w:p>
        </w:tc>
        <w:tc>
          <w:tcPr>
            <w:tcW w:w="1869" w:type="dxa"/>
          </w:tcPr>
          <w:p w:rsidR="00EC7D22" w:rsidRPr="00EC7D22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92.49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93.83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93.16</w:t>
            </w:r>
          </w:p>
        </w:tc>
      </w:tr>
      <w:tr w:rsidR="00EC7D22" w:rsidRPr="0059047F" w:rsidTr="006E0674">
        <w:tc>
          <w:tcPr>
            <w:tcW w:w="1869" w:type="dxa"/>
          </w:tcPr>
          <w:p w:rsidR="00EC7D22" w:rsidRPr="005F404C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proofErr w:type="spellStart"/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ParsCit</w:t>
            </w:r>
            <w:proofErr w:type="spellEnd"/>
          </w:p>
        </w:tc>
        <w:tc>
          <w:tcPr>
            <w:tcW w:w="1869" w:type="dxa"/>
          </w:tcPr>
          <w:p w:rsidR="00EC7D22" w:rsidRPr="00C675A5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proofErr w:type="spellStart"/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proofErr w:type="spellStart"/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94.8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  <w:r w:rsidR="0086054B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.15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.4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  <w:r w:rsidR="00963D8C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.51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92.4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F404C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.34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.05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E56CF8" w:rsidRDefault="00616B76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77</w:t>
            </w:r>
          </w:p>
        </w:tc>
      </w:tr>
      <w:tr w:rsidR="00580DB3" w:rsidRPr="0059047F" w:rsidTr="006E0674">
        <w:tc>
          <w:tcPr>
            <w:tcW w:w="1869" w:type="dxa"/>
          </w:tcPr>
          <w:p w:rsidR="00580DB3" w:rsidRPr="005F404C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color w:val="252525"/>
                <w:sz w:val="24"/>
                <w:szCs w:val="24"/>
                <w:lang w:val="en-US"/>
              </w:rPr>
              <w:t>REF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95.4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98.34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98.01</w:t>
            </w:r>
          </w:p>
        </w:tc>
        <w:tc>
          <w:tcPr>
            <w:tcW w:w="1869" w:type="dxa"/>
          </w:tcPr>
          <w:p w:rsidR="00580DB3" w:rsidRPr="00580DB3" w:rsidRDefault="00580DB3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98.17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5" w:name="_Toc515793845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библиографических ссылок</w:t>
      </w:r>
      <w:bookmarkEnd w:id="15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</w:rPr>
        <w:t>Miller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,  C.B.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"("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self.regexName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+ "(</w:t>
      </w:r>
      <w:hyperlink r:id="rId22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\\.\\))|(\\(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"[A-Za-z0-9/\\.,\\s();\\-:–]{1,300}(([0-9]+[\\-:][0-9]*\\.?)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[0-9]+[0-9\\-–\\n]*(\\s*)((pp)|(p))\\.?)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(\\s*)[0-9]+[\\-,–\\n]+[0-9]+\\.?)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(\\s*)((pp)|(p))\\.)(\\s*)[0-9]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 + "(\\s*)"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</w:t>
      </w:r>
      <w:proofErr w:type="spell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King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,  J.R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(Ed.)    2005.   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Report  of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Fisheries  and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16" w:name="_Toc515793846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16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w:lastRenderedPageBreak/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7" w:name="_Toc515793847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17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678A">
        <w:rPr>
          <w:rFonts w:ascii="Times New Roman" w:hAnsi="Times New Roman" w:cs="Times New Roman"/>
          <w:sz w:val="24"/>
          <w:szCs w:val="24"/>
        </w:rPr>
        <w:t>Д</w:t>
      </w:r>
      <w:r w:rsidR="002F72F5">
        <w:rPr>
          <w:rFonts w:ascii="Times New Roman" w:hAnsi="Times New Roman" w:cs="Times New Roman"/>
          <w:sz w:val="24"/>
          <w:szCs w:val="24"/>
        </w:rPr>
        <w:t xml:space="preserve">ля </w:t>
      </w:r>
      <w:r w:rsidRPr="004D678A">
        <w:rPr>
          <w:rFonts w:ascii="Times New Roman" w:hAnsi="Times New Roman" w:cs="Times New Roman"/>
          <w:sz w:val="24"/>
          <w:szCs w:val="24"/>
        </w:rPr>
        <w:t>извлечения ключевых слов и словосочетаний используется алгоритм RAKE (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>рассчитывается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246DAF" w:rsidRDefault="00616B76" w:rsidP="00246DA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75A7" w:rsidRPr="000575A7" w:rsidRDefault="000575A7" w:rsidP="00246DA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6DAF" w:rsidTr="00246DAF">
        <w:tc>
          <w:tcPr>
            <w:tcW w:w="4814" w:type="dxa"/>
          </w:tcPr>
          <w:p w:rsidR="00246DAF" w:rsidRPr="005F404C" w:rsidRDefault="00246DAF" w:rsidP="00F3323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Реальные ключевые слова</w:t>
            </w:r>
          </w:p>
        </w:tc>
        <w:tc>
          <w:tcPr>
            <w:tcW w:w="4814" w:type="dxa"/>
          </w:tcPr>
          <w:p w:rsidR="00246DAF" w:rsidRPr="005F404C" w:rsidRDefault="00246DAF" w:rsidP="00F33234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F404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Извлеченные ключевые слова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Batman</w:t>
            </w: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Batman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Criminals</w:t>
            </w: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Criminals</w:t>
            </w:r>
          </w:p>
        </w:tc>
      </w:tr>
      <w:tr w:rsidR="00246DAF" w:rsidTr="00246DAF"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Gotham City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plague Gotham City</w:t>
            </w: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Joker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Joker appears</w:t>
            </w: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Bruce Wayne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Dent</w:t>
            </w:r>
          </w:p>
        </w:tc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46DAF" w:rsidTr="00246DAF">
        <w:tc>
          <w:tcPr>
            <w:tcW w:w="4814" w:type="dxa"/>
          </w:tcPr>
          <w:p w:rsid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</w:tcPr>
          <w:p w:rsidR="00246DAF" w:rsidRPr="00246DAF" w:rsidRDefault="00246DAF" w:rsidP="00F3323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246DAF">
              <w:rPr>
                <w:rFonts w:ascii="Times New Roman" w:eastAsiaTheme="minorEastAsia" w:hAnsi="Times New Roman" w:cs="Times New Roman"/>
                <w:sz w:val="24"/>
                <w:szCs w:val="24"/>
              </w:rPr>
              <w:t>Lieutenant</w:t>
            </w:r>
            <w:proofErr w:type="spellEnd"/>
            <w:r w:rsidRPr="00246DA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6DAF">
              <w:rPr>
                <w:rFonts w:ascii="Times New Roman" w:eastAsiaTheme="minorEastAsia" w:hAnsi="Times New Roman" w:cs="Times New Roman"/>
                <w:sz w:val="24"/>
                <w:szCs w:val="24"/>
              </w:rPr>
              <w:t>James</w:t>
            </w:r>
            <w:proofErr w:type="spellEnd"/>
            <w:r w:rsidRPr="00246DA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6DAF">
              <w:rPr>
                <w:rFonts w:ascii="Times New Roman" w:eastAsiaTheme="minorEastAsia" w:hAnsi="Times New Roman" w:cs="Times New Roman"/>
                <w:sz w:val="24"/>
                <w:szCs w:val="24"/>
              </w:rPr>
              <w:t>Gordon</w:t>
            </w:r>
            <w:proofErr w:type="spellEnd"/>
          </w:p>
        </w:tc>
      </w:tr>
    </w:tbl>
    <w:p w:rsidR="000343C1" w:rsidRPr="005F404C" w:rsidRDefault="005F404C" w:rsidP="005F404C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17. Пример работы 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RAKE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DE5BBF" w:rsidRPr="00740B5E" w:rsidRDefault="00DE5BBF" w:rsidP="00740B5E">
      <w:pPr>
        <w:pStyle w:val="2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8" w:name="_Toc515793848"/>
      <w:r w:rsidRPr="00740B5E">
        <w:rPr>
          <w:rFonts w:ascii="Arial" w:eastAsiaTheme="minorEastAsia" w:hAnsi="Arial" w:cs="Arial"/>
          <w:b/>
          <w:color w:val="auto"/>
          <w:sz w:val="24"/>
          <w:szCs w:val="24"/>
        </w:rPr>
        <w:t xml:space="preserve">Добавление </w:t>
      </w:r>
      <w:proofErr w:type="spellStart"/>
      <w:r w:rsidRPr="00740B5E">
        <w:rPr>
          <w:rFonts w:ascii="Arial" w:eastAsiaTheme="minorEastAsia" w:hAnsi="Arial" w:cs="Arial"/>
          <w:b/>
          <w:color w:val="auto"/>
          <w:sz w:val="24"/>
          <w:szCs w:val="24"/>
        </w:rPr>
        <w:t>метаописаний</w:t>
      </w:r>
      <w:proofErr w:type="spellEnd"/>
      <w:r w:rsidRPr="00740B5E">
        <w:rPr>
          <w:rFonts w:ascii="Arial" w:eastAsiaTheme="minorEastAsia" w:hAnsi="Arial" w:cs="Arial"/>
          <w:b/>
          <w:color w:val="auto"/>
          <w:sz w:val="24"/>
          <w:szCs w:val="24"/>
        </w:rPr>
        <w:t xml:space="preserve"> в систему </w:t>
      </w:r>
      <w:proofErr w:type="spellStart"/>
      <w:r w:rsidRPr="00740B5E">
        <w:rPr>
          <w:rFonts w:ascii="Arial" w:eastAsiaTheme="minorEastAsia" w:hAnsi="Arial" w:cs="Arial"/>
          <w:b/>
          <w:color w:val="auto"/>
          <w:sz w:val="24"/>
          <w:szCs w:val="24"/>
          <w:lang w:val="en-US"/>
        </w:rPr>
        <w:t>GeoNetwork</w:t>
      </w:r>
      <w:bookmarkEnd w:id="18"/>
      <w:proofErr w:type="spellEnd"/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Публикация осуществляется через протокол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CSW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с помощью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post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запроса.</w:t>
      </w:r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>Служба каталогов для сети (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CSW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) является стандартом для публикации </w:t>
      </w:r>
      <w:proofErr w:type="spellStart"/>
      <w:r w:rsidRPr="00DE5BBF">
        <w:rPr>
          <w:rFonts w:ascii="Times New Roman" w:eastAsiaTheme="minorEastAsia" w:hAnsi="Times New Roman" w:cs="Times New Roman"/>
          <w:sz w:val="24"/>
          <w:szCs w:val="24"/>
        </w:rPr>
        <w:t>геопространственных</w:t>
      </w:r>
      <w:proofErr w:type="spellEnd"/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данных.</w:t>
      </w:r>
    </w:p>
    <w:p w:rsidR="00DE5BBF" w:rsidRPr="00DE5BBF" w:rsidRDefault="00DE5BBF" w:rsidP="00DE5BB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Записи метаданных написанные на языке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в формате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19115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>2/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FGDC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публикуются в систему </w:t>
      </w:r>
      <w:proofErr w:type="spellStart"/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таким </w:t>
      </w:r>
      <w:r w:rsidRPr="00DE5BBF">
        <w:rPr>
          <w:rFonts w:ascii="Times New Roman" w:eastAsiaTheme="minorEastAsia" w:hAnsi="Times New Roman" w:cs="Times New Roman"/>
          <w:sz w:val="24"/>
          <w:szCs w:val="24"/>
          <w:lang w:val="en-US"/>
        </w:rPr>
        <w:t>post</w:t>
      </w:r>
      <w:r w:rsidRPr="00DE5BBF">
        <w:rPr>
          <w:rFonts w:ascii="Times New Roman" w:eastAsiaTheme="minorEastAsia" w:hAnsi="Times New Roman" w:cs="Times New Roman"/>
          <w:sz w:val="24"/>
          <w:szCs w:val="24"/>
        </w:rPr>
        <w:t xml:space="preserve"> запросом: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proofErr w:type="gram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Url</w:t>
      </w:r>
      <w:proofErr w:type="gramEnd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: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proofErr w:type="spellStart"/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GeoNetwork</w:t>
      </w:r>
      <w:proofErr w:type="spellEnd"/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 xml:space="preserve"> URL</w:t>
      </w:r>
    </w:p>
    <w:p w:rsidR="00DE5BBF" w:rsidRP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Post data:</w:t>
      </w:r>
    </w:p>
    <w:p w:rsid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</w:t>
      </w:r>
      <w:proofErr w:type="spell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csw</w:t>
      </w:r>
      <w:proofErr w:type="gram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:Transaction</w:t>
      </w:r>
      <w:proofErr w:type="spellEnd"/>
      <w:proofErr w:type="gramEnd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 xml:space="preserve"> service="CSW" version="2.0.2” </w:t>
      </w:r>
      <w:proofErr w:type="spell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xmlns:csw</w:t>
      </w:r>
      <w:proofErr w:type="spellEnd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="http://www.opengis.net/cat/csw/2.0.2"&gt;</w:t>
      </w:r>
    </w:p>
    <w:p w:rsidR="00DE5BBF" w:rsidRDefault="00DE5BBF" w:rsidP="00DE5BBF">
      <w:pPr>
        <w:spacing w:line="360" w:lineRule="auto"/>
        <w:ind w:firstLine="708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</w:t>
      </w:r>
      <w:proofErr w:type="spellStart"/>
      <w:proofErr w:type="gram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csw:</w:t>
      </w:r>
      <w:proofErr w:type="gramEnd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Insert</w:t>
      </w:r>
      <w:proofErr w:type="spellEnd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&gt;</w:t>
      </w:r>
    </w:p>
    <w:p w:rsidR="00DE5BBF" w:rsidRPr="00DE5BBF" w:rsidRDefault="00DE5BBF" w:rsidP="00DE5BBF">
      <w:pPr>
        <w:spacing w:line="360" w:lineRule="auto"/>
        <w:ind w:left="653" w:firstLine="708"/>
        <w:rPr>
          <w:rFonts w:ascii="Consolas" w:eastAsiaTheme="minorEastAsia" w:hAnsi="Consolas" w:cs="Times New Roman"/>
          <w:sz w:val="24"/>
          <w:szCs w:val="24"/>
          <w:lang w:val="en-US"/>
        </w:rPr>
      </w:pPr>
      <w:proofErr w:type="gramStart"/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DATA(</w:t>
      </w:r>
      <w:proofErr w:type="gramEnd"/>
      <w:r w:rsidRPr="00DE5BBF">
        <w:rPr>
          <w:rFonts w:ascii="Consolas" w:eastAsiaTheme="minorEastAsia" w:hAnsi="Consolas" w:cs="Times New Roman"/>
          <w:b/>
          <w:bCs/>
          <w:sz w:val="24"/>
          <w:szCs w:val="24"/>
          <w:lang w:val="en-US"/>
        </w:rPr>
        <w:t>ISO19115v2/FGDC)</w:t>
      </w:r>
    </w:p>
    <w:p w:rsidR="00DE5BBF" w:rsidRPr="00DE5BBF" w:rsidRDefault="00DE5BBF" w:rsidP="00DE5BBF">
      <w:pPr>
        <w:spacing w:line="360" w:lineRule="auto"/>
        <w:ind w:firstLine="653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&lt;/</w:t>
      </w:r>
      <w:proofErr w:type="spell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csw</w:t>
      </w:r>
      <w:proofErr w:type="gram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:Insert</w:t>
      </w:r>
      <w:proofErr w:type="spellEnd"/>
      <w:proofErr w:type="gramEnd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&gt;</w:t>
      </w:r>
    </w:p>
    <w:p w:rsidR="00DE5BBF" w:rsidRDefault="00DE5BBF" w:rsidP="00DE5BBF">
      <w:pPr>
        <w:spacing w:line="360" w:lineRule="auto"/>
        <w:rPr>
          <w:rFonts w:ascii="Consolas" w:eastAsiaTheme="minorEastAsia" w:hAnsi="Consolas" w:cs="Times New Roman"/>
          <w:sz w:val="24"/>
          <w:szCs w:val="24"/>
          <w:lang w:val="en-US"/>
        </w:rPr>
      </w:pPr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&lt;/</w:t>
      </w:r>
      <w:proofErr w:type="spell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csw</w:t>
      </w:r>
      <w:proofErr w:type="gramStart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:Transaction</w:t>
      </w:r>
      <w:proofErr w:type="spellEnd"/>
      <w:proofErr w:type="gramEnd"/>
      <w:r w:rsidRPr="00DE5BBF">
        <w:rPr>
          <w:rFonts w:ascii="Consolas" w:eastAsiaTheme="minorEastAsia" w:hAnsi="Consolas" w:cs="Times New Roman"/>
          <w:sz w:val="24"/>
          <w:szCs w:val="24"/>
          <w:lang w:val="en-US"/>
        </w:rPr>
        <w:t>&gt;</w:t>
      </w:r>
    </w:p>
    <w:p w:rsidR="007A7F64" w:rsidRPr="007A7F64" w:rsidRDefault="007A7F64" w:rsidP="00DE5BB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GeoNetwork</w:t>
      </w:r>
      <w:proofErr w:type="spellEnd"/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URL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адрес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сервера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</w:p>
    <w:p w:rsidR="007A7F64" w:rsidRPr="007A7F64" w:rsidRDefault="007A7F64" w:rsidP="00DE5BB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DATA(</w:t>
      </w:r>
      <w:proofErr w:type="gramEnd"/>
      <w:r w:rsidRPr="007A7F6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ISO19115v2/FGDC)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xml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sz w:val="24"/>
          <w:szCs w:val="24"/>
        </w:rPr>
        <w:t>формате</w:t>
      </w:r>
      <w:r w:rsidRPr="007A7F6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A7F6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ISO19115v2/FGDC</w:t>
      </w:r>
    </w:p>
    <w:p w:rsidR="0033532E" w:rsidRPr="009F7C31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t>Заключение</w:t>
      </w:r>
    </w:p>
    <w:p w:rsidR="00F170E3" w:rsidRPr="00F170E3" w:rsidRDefault="00F170E3" w:rsidP="005229A2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работы было написано более</w:t>
      </w:r>
      <w:r w:rsidR="005229A2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E75D6" w:rsidRPr="004D5EE8" w:rsidRDefault="004D5EE8" w:rsidP="00DE75D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="001D7609">
        <w:rPr>
          <w:rFonts w:ascii="Times New Roman" w:eastAsiaTheme="minorEastAsia" w:hAnsi="Times New Roman" w:cs="Times New Roman"/>
          <w:sz w:val="24"/>
          <w:szCs w:val="24"/>
        </w:rPr>
        <w:t>выпускной квалификационной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</w:t>
      </w:r>
      <w:r w:rsidR="005229A2">
        <w:rPr>
          <w:rFonts w:ascii="Times New Roman" w:eastAsiaTheme="minorEastAsia" w:hAnsi="Times New Roman" w:cs="Times New Roman"/>
          <w:sz w:val="24"/>
          <w:szCs w:val="24"/>
        </w:rPr>
        <w:t xml:space="preserve"> из неструктурированного текста:</w:t>
      </w:r>
    </w:p>
    <w:p w:rsidR="00843E21" w:rsidRPr="00843E21" w:rsidRDefault="005229A2" w:rsidP="00843E21">
      <w:pPr>
        <w:pStyle w:val="a3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извлечение именованных сущностей с помощью рекуррентных нейронных сетей с долгой краткосрочной памятью, извлечение библиографических ссылок с помощью регулярных выражений, извлечение ключевых слов и словосочетаний с помощью алгоритма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Rapid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Automatic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Keyword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38C9" w:rsidRPr="005229A2">
        <w:rPr>
          <w:rFonts w:ascii="Times New Roman" w:eastAsiaTheme="minorEastAsia" w:hAnsi="Times New Roman" w:cs="Times New Roman"/>
          <w:sz w:val="24"/>
          <w:szCs w:val="24"/>
          <w:lang w:val="en-US"/>
        </w:rPr>
        <w:t>Extraction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843E21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lastRenderedPageBreak/>
        <w:t>прове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дено тестирование разработанных</w:t>
      </w:r>
      <w:r w:rsidRPr="00077AE0">
        <w:rPr>
          <w:rFonts w:ascii="Times New Roman" w:eastAsiaTheme="minorEastAsia" w:hAnsi="Times New Roman" w:cs="Times New Roman"/>
          <w:sz w:val="24"/>
          <w:szCs w:val="24"/>
        </w:rPr>
        <w:t xml:space="preserve"> мето</w:t>
      </w:r>
      <w:r w:rsidR="00C66D62">
        <w:rPr>
          <w:rFonts w:ascii="Times New Roman" w:eastAsiaTheme="minorEastAsia" w:hAnsi="Times New Roman" w:cs="Times New Roman"/>
          <w:sz w:val="24"/>
          <w:szCs w:val="24"/>
        </w:rPr>
        <w:t>дов</w:t>
      </w:r>
      <w:r w:rsidR="00C66D62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BD3D2B" w:rsidRPr="00DE75D6" w:rsidRDefault="00843E21" w:rsidP="00B852F2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выполнена реализация графического интерфейса пользователя с возможностью редактирования извлеченных </w:t>
      </w:r>
      <w:proofErr w:type="spellStart"/>
      <w:r w:rsidRPr="00843E21">
        <w:rPr>
          <w:rFonts w:ascii="Times New Roman" w:eastAsiaTheme="minorEastAsia" w:hAnsi="Times New Roman" w:cs="Times New Roman"/>
          <w:sz w:val="24"/>
          <w:szCs w:val="24"/>
        </w:rPr>
        <w:t>метаописаний</w:t>
      </w:r>
      <w:proofErr w:type="spellEnd"/>
      <w:r w:rsidRPr="00843E21">
        <w:rPr>
          <w:rFonts w:ascii="Times New Roman" w:eastAsiaTheme="minorEastAsia" w:hAnsi="Times New Roman" w:cs="Times New Roman"/>
          <w:sz w:val="24"/>
          <w:szCs w:val="24"/>
        </w:rPr>
        <w:t xml:space="preserve"> и возможностью публикации их в систему </w:t>
      </w:r>
      <w:proofErr w:type="spellStart"/>
      <w:r w:rsidRPr="00843E21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843E2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50936" w:rsidRDefault="0025093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E133F6" w:rsidRPr="00616B76" w:rsidRDefault="00E133F6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70230B" w:rsidRPr="0070230B" w:rsidRDefault="00BA0722" w:rsidP="0070230B">
      <w:pPr>
        <w:spacing w:line="360" w:lineRule="auto"/>
        <w:ind w:firstLine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С</w:t>
      </w:r>
      <w:r w:rsidRPr="0070230B">
        <w:rPr>
          <w:rFonts w:ascii="Arial" w:hAnsi="Arial" w:cs="Arial"/>
          <w:b/>
          <w:sz w:val="28"/>
          <w:szCs w:val="28"/>
        </w:rPr>
        <w:t>пис</w:t>
      </w:r>
      <w:r>
        <w:rPr>
          <w:rFonts w:ascii="Arial" w:hAnsi="Arial" w:cs="Arial"/>
          <w:b/>
          <w:sz w:val="28"/>
          <w:szCs w:val="28"/>
        </w:rPr>
        <w:t>о</w:t>
      </w:r>
      <w:r w:rsidRPr="0070230B">
        <w:rPr>
          <w:rFonts w:ascii="Arial" w:hAnsi="Arial" w:cs="Arial"/>
          <w:b/>
          <w:sz w:val="28"/>
          <w:szCs w:val="28"/>
        </w:rPr>
        <w:t>к</w:t>
      </w:r>
      <w:r w:rsidR="0070230B" w:rsidRPr="0070230B">
        <w:rPr>
          <w:rFonts w:ascii="Arial" w:hAnsi="Arial" w:cs="Arial"/>
          <w:b/>
          <w:sz w:val="28"/>
          <w:szCs w:val="28"/>
        </w:rPr>
        <w:t xml:space="preserve"> литературы</w:t>
      </w:r>
      <w:r w:rsidR="0070230B" w:rsidRPr="0070230B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</w:p>
    <w:p w:rsidR="00BA0722" w:rsidRPr="00B6690D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Rose S. et al. Automatic keyword extraction from individual documents //Text </w:t>
      </w:r>
      <w:proofErr w:type="gramStart"/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Mining</w:t>
      </w:r>
      <w:proofErr w:type="gramEnd"/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Applications and Theory. – 2010. – 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B669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1-20.</w:t>
      </w:r>
    </w:p>
    <w:p w:rsidR="00BA0722" w:rsidRPr="0083544B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Conditional random fields. – Technical report, The </w:t>
      </w:r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University of Wisconsin Madison, 2007.</w:t>
      </w:r>
    </w:p>
    <w:p w:rsidR="0083544B" w:rsidRPr="0083544B" w:rsidRDefault="0083544B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54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Limsopatham</w:t>
      </w:r>
      <w:proofErr w:type="spellEnd"/>
      <w:r w:rsidRPr="008354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N., Collier N. H. Bidirectional LSTM for named entity recognition in Twitter messages. – 2016.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5D99" w:rsidRPr="00BA0722" w:rsidRDefault="00085D99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</w:t>
      </w:r>
      <w:proofErr w:type="spellEnd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O'Reilly</w:t>
      </w:r>
      <w:proofErr w:type="gramEnd"/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Media, Inc.", 2016.</w:t>
      </w:r>
      <w:r w:rsidRPr="00BA0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Пескова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</w:t>
      </w:r>
      <w:proofErr w:type="spellEnd"/>
      <w:r w:rsidRPr="00B669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p w:rsidR="00BA0722" w:rsidRPr="00BA0722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A0722">
        <w:rPr>
          <w:rFonts w:ascii="Times New Roman" w:hAnsi="Times New Roman" w:cs="Times New Roman"/>
          <w:sz w:val="24"/>
          <w:szCs w:val="24"/>
          <w:shd w:val="clear" w:color="auto" w:fill="FFFFFF"/>
        </w:rPr>
        <w:t>Ванюшкин А. С., Гращенко Л. А. Методы и алгоритмы извлечения ключевых слов //Новые информационные технологии в автоматизированных системах. – 2016. – №. 19.</w:t>
      </w:r>
    </w:p>
    <w:p w:rsidR="00BA0722" w:rsidRPr="0033532E" w:rsidRDefault="00BA0722" w:rsidP="00BA0722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641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B6690D" w:rsidRDefault="00B6690D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97B8A" w:rsidRPr="00DE5BBF" w:rsidRDefault="00897B8A" w:rsidP="0076278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897B8A" w:rsidRPr="00DE5BBF" w:rsidSect="0033532E">
      <w:footerReference w:type="default" r:id="rId23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15B" w:rsidRDefault="00DA015B" w:rsidP="00016C1B">
      <w:pPr>
        <w:spacing w:after="0" w:line="240" w:lineRule="auto"/>
      </w:pPr>
      <w:r>
        <w:separator/>
      </w:r>
    </w:p>
  </w:endnote>
  <w:endnote w:type="continuationSeparator" w:id="0">
    <w:p w:rsidR="00DA015B" w:rsidRDefault="00DA015B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EndPr/>
    <w:sdtContent>
      <w:p w:rsidR="00C71103" w:rsidRDefault="00C7110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1F8">
          <w:rPr>
            <w:noProof/>
          </w:rPr>
          <w:t>21</w:t>
        </w:r>
        <w:r>
          <w:fldChar w:fldCharType="end"/>
        </w:r>
      </w:p>
    </w:sdtContent>
  </w:sdt>
  <w:p w:rsidR="00C71103" w:rsidRDefault="00C7110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15B" w:rsidRDefault="00DA015B" w:rsidP="00016C1B">
      <w:pPr>
        <w:spacing w:after="0" w:line="240" w:lineRule="auto"/>
      </w:pPr>
      <w:r>
        <w:separator/>
      </w:r>
    </w:p>
  </w:footnote>
  <w:footnote w:type="continuationSeparator" w:id="0">
    <w:p w:rsidR="00DA015B" w:rsidRDefault="00DA015B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16F8"/>
    <w:multiLevelType w:val="hybridMultilevel"/>
    <w:tmpl w:val="D1043226"/>
    <w:lvl w:ilvl="0" w:tplc="1668F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AE19C8"/>
    <w:multiLevelType w:val="hybridMultilevel"/>
    <w:tmpl w:val="AF16733E"/>
    <w:lvl w:ilvl="0" w:tplc="7DF6C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B384C"/>
    <w:multiLevelType w:val="hybridMultilevel"/>
    <w:tmpl w:val="4600F536"/>
    <w:lvl w:ilvl="0" w:tplc="355EE6F8">
      <w:start w:val="1"/>
      <w:numFmt w:val="decimal"/>
      <w:lvlText w:val="%1."/>
      <w:lvlJc w:val="left"/>
      <w:pPr>
        <w:ind w:left="927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4DFB"/>
    <w:multiLevelType w:val="hybridMultilevel"/>
    <w:tmpl w:val="A23EBE92"/>
    <w:lvl w:ilvl="0" w:tplc="8B967A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803A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D903B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40E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5CD7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2A41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CECA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9A71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8655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E7467"/>
    <w:multiLevelType w:val="hybridMultilevel"/>
    <w:tmpl w:val="BF829562"/>
    <w:lvl w:ilvl="0" w:tplc="4FC25B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8EEC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44AA1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80662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9069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35AD9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AE669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4460A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7F8C0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427B8"/>
    <w:multiLevelType w:val="hybridMultilevel"/>
    <w:tmpl w:val="59487AD2"/>
    <w:lvl w:ilvl="0" w:tplc="31B2C7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1D3DFA"/>
    <w:multiLevelType w:val="hybridMultilevel"/>
    <w:tmpl w:val="316C6674"/>
    <w:lvl w:ilvl="0" w:tplc="3976D8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F0F66"/>
    <w:multiLevelType w:val="hybridMultilevel"/>
    <w:tmpl w:val="08BC5C6A"/>
    <w:lvl w:ilvl="0" w:tplc="19C02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0C5330"/>
    <w:multiLevelType w:val="hybridMultilevel"/>
    <w:tmpl w:val="DB423244"/>
    <w:lvl w:ilvl="0" w:tplc="323E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8"/>
  </w:num>
  <w:num w:numId="5">
    <w:abstractNumId w:val="3"/>
  </w:num>
  <w:num w:numId="6">
    <w:abstractNumId w:val="8"/>
  </w:num>
  <w:num w:numId="7">
    <w:abstractNumId w:val="14"/>
  </w:num>
  <w:num w:numId="8">
    <w:abstractNumId w:val="4"/>
  </w:num>
  <w:num w:numId="9">
    <w:abstractNumId w:val="6"/>
  </w:num>
  <w:num w:numId="10">
    <w:abstractNumId w:val="2"/>
  </w:num>
  <w:num w:numId="11">
    <w:abstractNumId w:val="16"/>
  </w:num>
  <w:num w:numId="12">
    <w:abstractNumId w:val="17"/>
  </w:num>
  <w:num w:numId="13">
    <w:abstractNumId w:val="11"/>
  </w:num>
  <w:num w:numId="14">
    <w:abstractNumId w:val="7"/>
  </w:num>
  <w:num w:numId="15">
    <w:abstractNumId w:val="5"/>
  </w:num>
  <w:num w:numId="16">
    <w:abstractNumId w:val="13"/>
  </w:num>
  <w:num w:numId="17">
    <w:abstractNumId w:val="15"/>
  </w:num>
  <w:num w:numId="18">
    <w:abstractNumId w:val="20"/>
  </w:num>
  <w:num w:numId="19">
    <w:abstractNumId w:val="19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343C1"/>
    <w:rsid w:val="000471F5"/>
    <w:rsid w:val="000575A7"/>
    <w:rsid w:val="00077AE0"/>
    <w:rsid w:val="000837BA"/>
    <w:rsid w:val="00085D99"/>
    <w:rsid w:val="000967F6"/>
    <w:rsid w:val="000A1FFF"/>
    <w:rsid w:val="000B149B"/>
    <w:rsid w:val="000B591A"/>
    <w:rsid w:val="000B6831"/>
    <w:rsid w:val="000B77AE"/>
    <w:rsid w:val="000C2FAE"/>
    <w:rsid w:val="000D7EE6"/>
    <w:rsid w:val="000F04C7"/>
    <w:rsid w:val="000F1E57"/>
    <w:rsid w:val="000F58C6"/>
    <w:rsid w:val="00121018"/>
    <w:rsid w:val="00134DBE"/>
    <w:rsid w:val="00141408"/>
    <w:rsid w:val="001436A1"/>
    <w:rsid w:val="00144AC2"/>
    <w:rsid w:val="00144FD5"/>
    <w:rsid w:val="001770C3"/>
    <w:rsid w:val="001872C6"/>
    <w:rsid w:val="001961A0"/>
    <w:rsid w:val="00197110"/>
    <w:rsid w:val="001B1B2E"/>
    <w:rsid w:val="001B38FC"/>
    <w:rsid w:val="001B396C"/>
    <w:rsid w:val="001C569D"/>
    <w:rsid w:val="001D7609"/>
    <w:rsid w:val="001E23D9"/>
    <w:rsid w:val="001F6E05"/>
    <w:rsid w:val="00204D31"/>
    <w:rsid w:val="00213641"/>
    <w:rsid w:val="00221B22"/>
    <w:rsid w:val="0023346C"/>
    <w:rsid w:val="00246DAF"/>
    <w:rsid w:val="00250936"/>
    <w:rsid w:val="00257B7A"/>
    <w:rsid w:val="00266DB4"/>
    <w:rsid w:val="002738C9"/>
    <w:rsid w:val="00274394"/>
    <w:rsid w:val="002931C1"/>
    <w:rsid w:val="002978FB"/>
    <w:rsid w:val="002B5C32"/>
    <w:rsid w:val="002C677E"/>
    <w:rsid w:val="002D6B6E"/>
    <w:rsid w:val="002E0D9F"/>
    <w:rsid w:val="002F62A6"/>
    <w:rsid w:val="002F72F5"/>
    <w:rsid w:val="0032149F"/>
    <w:rsid w:val="00323E4D"/>
    <w:rsid w:val="00332574"/>
    <w:rsid w:val="003338DD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96DDA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36B63"/>
    <w:rsid w:val="0044712B"/>
    <w:rsid w:val="0044731B"/>
    <w:rsid w:val="00476210"/>
    <w:rsid w:val="0048292D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29A2"/>
    <w:rsid w:val="00524BFC"/>
    <w:rsid w:val="0054106B"/>
    <w:rsid w:val="00551CC3"/>
    <w:rsid w:val="00552119"/>
    <w:rsid w:val="00556BF3"/>
    <w:rsid w:val="00561717"/>
    <w:rsid w:val="0056358F"/>
    <w:rsid w:val="005649CC"/>
    <w:rsid w:val="00564E20"/>
    <w:rsid w:val="00567B9C"/>
    <w:rsid w:val="00575531"/>
    <w:rsid w:val="00576E74"/>
    <w:rsid w:val="00580DB3"/>
    <w:rsid w:val="0059047F"/>
    <w:rsid w:val="005C04C6"/>
    <w:rsid w:val="005C7C66"/>
    <w:rsid w:val="005D05BE"/>
    <w:rsid w:val="005D0CA1"/>
    <w:rsid w:val="005F404C"/>
    <w:rsid w:val="006052C0"/>
    <w:rsid w:val="00607B3A"/>
    <w:rsid w:val="0061281C"/>
    <w:rsid w:val="00616B76"/>
    <w:rsid w:val="00642D86"/>
    <w:rsid w:val="006471AD"/>
    <w:rsid w:val="00677410"/>
    <w:rsid w:val="00687092"/>
    <w:rsid w:val="00691EBB"/>
    <w:rsid w:val="006927BE"/>
    <w:rsid w:val="00693EB9"/>
    <w:rsid w:val="00696725"/>
    <w:rsid w:val="006A3876"/>
    <w:rsid w:val="006B4BBD"/>
    <w:rsid w:val="006B6914"/>
    <w:rsid w:val="006C53F9"/>
    <w:rsid w:val="006C6C37"/>
    <w:rsid w:val="006D2A2E"/>
    <w:rsid w:val="006E0674"/>
    <w:rsid w:val="006E0B49"/>
    <w:rsid w:val="006E1517"/>
    <w:rsid w:val="006F6DB3"/>
    <w:rsid w:val="0070230B"/>
    <w:rsid w:val="00704208"/>
    <w:rsid w:val="00712B88"/>
    <w:rsid w:val="00725948"/>
    <w:rsid w:val="0072682E"/>
    <w:rsid w:val="00740B5E"/>
    <w:rsid w:val="00741F97"/>
    <w:rsid w:val="00746183"/>
    <w:rsid w:val="007515ED"/>
    <w:rsid w:val="00751D59"/>
    <w:rsid w:val="007521F1"/>
    <w:rsid w:val="00762788"/>
    <w:rsid w:val="00772CDF"/>
    <w:rsid w:val="007753D6"/>
    <w:rsid w:val="00790AEF"/>
    <w:rsid w:val="007958E6"/>
    <w:rsid w:val="00797832"/>
    <w:rsid w:val="0079791F"/>
    <w:rsid w:val="007A0075"/>
    <w:rsid w:val="007A243D"/>
    <w:rsid w:val="007A6816"/>
    <w:rsid w:val="007A6AA3"/>
    <w:rsid w:val="007A7F64"/>
    <w:rsid w:val="007B69F5"/>
    <w:rsid w:val="007D6164"/>
    <w:rsid w:val="007F0711"/>
    <w:rsid w:val="00800F5B"/>
    <w:rsid w:val="0080688B"/>
    <w:rsid w:val="00825E62"/>
    <w:rsid w:val="008307C9"/>
    <w:rsid w:val="00830982"/>
    <w:rsid w:val="00832D58"/>
    <w:rsid w:val="00833679"/>
    <w:rsid w:val="0083544B"/>
    <w:rsid w:val="00842A5E"/>
    <w:rsid w:val="00843E21"/>
    <w:rsid w:val="00844A0D"/>
    <w:rsid w:val="00846A93"/>
    <w:rsid w:val="0084725E"/>
    <w:rsid w:val="00847AF5"/>
    <w:rsid w:val="00853454"/>
    <w:rsid w:val="0085481C"/>
    <w:rsid w:val="00856AD7"/>
    <w:rsid w:val="0086054B"/>
    <w:rsid w:val="0089142F"/>
    <w:rsid w:val="00892784"/>
    <w:rsid w:val="00893000"/>
    <w:rsid w:val="00894E52"/>
    <w:rsid w:val="00897B8A"/>
    <w:rsid w:val="008A0C5E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528"/>
    <w:rsid w:val="00935612"/>
    <w:rsid w:val="0094254D"/>
    <w:rsid w:val="00943A60"/>
    <w:rsid w:val="009574B5"/>
    <w:rsid w:val="00963D8C"/>
    <w:rsid w:val="009769F6"/>
    <w:rsid w:val="0098758B"/>
    <w:rsid w:val="009A1269"/>
    <w:rsid w:val="009A724F"/>
    <w:rsid w:val="009C5A44"/>
    <w:rsid w:val="009E28DF"/>
    <w:rsid w:val="009F082C"/>
    <w:rsid w:val="009F2F66"/>
    <w:rsid w:val="009F7C31"/>
    <w:rsid w:val="00A028D2"/>
    <w:rsid w:val="00A071C6"/>
    <w:rsid w:val="00A11F1E"/>
    <w:rsid w:val="00A12A60"/>
    <w:rsid w:val="00A20D66"/>
    <w:rsid w:val="00A31BEC"/>
    <w:rsid w:val="00A772F2"/>
    <w:rsid w:val="00A90AC1"/>
    <w:rsid w:val="00A940DB"/>
    <w:rsid w:val="00A96DD4"/>
    <w:rsid w:val="00A9749E"/>
    <w:rsid w:val="00AA4E80"/>
    <w:rsid w:val="00AB2D36"/>
    <w:rsid w:val="00AB4C57"/>
    <w:rsid w:val="00AC31BC"/>
    <w:rsid w:val="00AC3DC5"/>
    <w:rsid w:val="00AD132B"/>
    <w:rsid w:val="00AD4828"/>
    <w:rsid w:val="00AE29E5"/>
    <w:rsid w:val="00B2459B"/>
    <w:rsid w:val="00B34868"/>
    <w:rsid w:val="00B520F2"/>
    <w:rsid w:val="00B57985"/>
    <w:rsid w:val="00B6690D"/>
    <w:rsid w:val="00B76DEB"/>
    <w:rsid w:val="00B852F2"/>
    <w:rsid w:val="00B86D1F"/>
    <w:rsid w:val="00B876EF"/>
    <w:rsid w:val="00B93706"/>
    <w:rsid w:val="00BA0722"/>
    <w:rsid w:val="00BB18FF"/>
    <w:rsid w:val="00BB29DA"/>
    <w:rsid w:val="00BC0483"/>
    <w:rsid w:val="00BC6A52"/>
    <w:rsid w:val="00BC77E5"/>
    <w:rsid w:val="00BD3D2B"/>
    <w:rsid w:val="00BE73B0"/>
    <w:rsid w:val="00C01473"/>
    <w:rsid w:val="00C0203E"/>
    <w:rsid w:val="00C23793"/>
    <w:rsid w:val="00C33AB6"/>
    <w:rsid w:val="00C35908"/>
    <w:rsid w:val="00C4413C"/>
    <w:rsid w:val="00C560D8"/>
    <w:rsid w:val="00C66D62"/>
    <w:rsid w:val="00C675A5"/>
    <w:rsid w:val="00C71103"/>
    <w:rsid w:val="00C77E93"/>
    <w:rsid w:val="00C957FF"/>
    <w:rsid w:val="00CA7234"/>
    <w:rsid w:val="00CC74B9"/>
    <w:rsid w:val="00CD371E"/>
    <w:rsid w:val="00CD4EC7"/>
    <w:rsid w:val="00CE2D28"/>
    <w:rsid w:val="00CE5EDE"/>
    <w:rsid w:val="00D00B73"/>
    <w:rsid w:val="00D20E76"/>
    <w:rsid w:val="00D2727A"/>
    <w:rsid w:val="00D51F0A"/>
    <w:rsid w:val="00D658F4"/>
    <w:rsid w:val="00D65C50"/>
    <w:rsid w:val="00D83FAE"/>
    <w:rsid w:val="00D8435E"/>
    <w:rsid w:val="00D87EC7"/>
    <w:rsid w:val="00D902E6"/>
    <w:rsid w:val="00D94322"/>
    <w:rsid w:val="00D97D91"/>
    <w:rsid w:val="00DA015B"/>
    <w:rsid w:val="00DA0C83"/>
    <w:rsid w:val="00DA2D80"/>
    <w:rsid w:val="00DB1EAF"/>
    <w:rsid w:val="00DB32FE"/>
    <w:rsid w:val="00DE19EE"/>
    <w:rsid w:val="00DE5BBF"/>
    <w:rsid w:val="00DE75D6"/>
    <w:rsid w:val="00DF71F8"/>
    <w:rsid w:val="00E0215A"/>
    <w:rsid w:val="00E133F6"/>
    <w:rsid w:val="00E14A7E"/>
    <w:rsid w:val="00E21E5D"/>
    <w:rsid w:val="00E35A34"/>
    <w:rsid w:val="00E4162F"/>
    <w:rsid w:val="00E56758"/>
    <w:rsid w:val="00E56CF8"/>
    <w:rsid w:val="00E74F00"/>
    <w:rsid w:val="00E8680E"/>
    <w:rsid w:val="00EA0C95"/>
    <w:rsid w:val="00EC7D22"/>
    <w:rsid w:val="00EE0962"/>
    <w:rsid w:val="00EF62A2"/>
    <w:rsid w:val="00F07E98"/>
    <w:rsid w:val="00F13D77"/>
    <w:rsid w:val="00F15471"/>
    <w:rsid w:val="00F159E5"/>
    <w:rsid w:val="00F170E3"/>
    <w:rsid w:val="00F30966"/>
    <w:rsid w:val="00F30FD9"/>
    <w:rsid w:val="00F33234"/>
    <w:rsid w:val="00F40CCB"/>
    <w:rsid w:val="00F570D9"/>
    <w:rsid w:val="00F82A93"/>
    <w:rsid w:val="00F94561"/>
    <w:rsid w:val="00FA7473"/>
    <w:rsid w:val="00FB3B0D"/>
    <w:rsid w:val="00FC4FCA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4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4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2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E%D1%86%D0%B5%D0%BD%D0%BE%D0%BB%D0%BE%D0%B3%D0%B8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bazhenov.me/blog/2012/05/05/harmonic-mea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etings.pices.int/about/organizationstructur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2%D0%9D%D0%98%D0%A0%D0%9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A%D0%B5%D0%B0%D0%BD%D0%BE%D0%B3%D1%80%D0%B0%D1%84%D0%B8%D1%8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\\s*)[and,]*(\\s*))%7b1,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1AF4-36F3-4E19-A41E-43A28C57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7183</TotalTime>
  <Pages>32</Pages>
  <Words>5690</Words>
  <Characters>32436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200</cp:revision>
  <dcterms:created xsi:type="dcterms:W3CDTF">2018-04-16T06:18:00Z</dcterms:created>
  <dcterms:modified xsi:type="dcterms:W3CDTF">2018-06-04T00:30:00Z</dcterms:modified>
</cp:coreProperties>
</file>