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FB1" w:rsidRDefault="008A66B7" w:rsidP="008A66B7">
      <w:pPr>
        <w:pStyle w:val="Geenafstand"/>
        <w:rPr>
          <w:sz w:val="28"/>
        </w:rPr>
      </w:pPr>
      <w:r>
        <w:rPr>
          <w:sz w:val="28"/>
        </w:rPr>
        <w:t xml:space="preserve">Conclusion </w:t>
      </w:r>
    </w:p>
    <w:p w:rsidR="008A66B7" w:rsidRDefault="008A66B7" w:rsidP="008A66B7">
      <w:pPr>
        <w:pStyle w:val="Geenafstand"/>
        <w:rPr>
          <w:lang w:val="en-US"/>
        </w:rPr>
      </w:pPr>
      <w:r w:rsidRPr="008A66B7">
        <w:rPr>
          <w:lang w:val="en-GB"/>
        </w:rPr>
        <w:t>In our project we want t</w:t>
      </w:r>
      <w:r>
        <w:rPr>
          <w:lang w:val="en-GB"/>
        </w:rPr>
        <w:t xml:space="preserve">o tackle the question does responsiveness evolve and does this induce the emergence of personalities. As seen in the results above, we </w:t>
      </w:r>
      <w:r>
        <w:rPr>
          <w:lang w:val="en-US"/>
        </w:rPr>
        <w:t>see that resp</w:t>
      </w:r>
      <w:r>
        <w:rPr>
          <w:lang w:val="en-US"/>
        </w:rPr>
        <w:t>onsiveness</w:t>
      </w:r>
      <w:r>
        <w:rPr>
          <w:lang w:val="en-US"/>
        </w:rPr>
        <w:t xml:space="preserve"> can evolve </w:t>
      </w:r>
      <w:r>
        <w:rPr>
          <w:lang w:val="en-US"/>
        </w:rPr>
        <w:t xml:space="preserve">in populations and </w:t>
      </w:r>
      <w:r>
        <w:rPr>
          <w:lang w:val="en-US"/>
        </w:rPr>
        <w:t xml:space="preserve">in fact we found that it could spread when </w:t>
      </w:r>
      <w:r>
        <w:rPr>
          <w:lang w:val="en-US"/>
        </w:rPr>
        <w:t>the price for being responsive</w:t>
      </w:r>
      <w:r>
        <w:rPr>
          <w:lang w:val="en-US"/>
        </w:rPr>
        <w:t xml:space="preserve"> was a factor 50 higher than suggested</w:t>
      </w:r>
      <w:r>
        <w:rPr>
          <w:lang w:val="en-US"/>
        </w:rPr>
        <w:t xml:space="preserve"> by the paper of Wolf et al</w:t>
      </w:r>
      <w:r>
        <w:rPr>
          <w:lang w:val="en-US"/>
        </w:rPr>
        <w:t xml:space="preserve">. </w:t>
      </w:r>
      <w:r>
        <w:rPr>
          <w:lang w:val="en-US"/>
        </w:rPr>
        <w:t xml:space="preserve">In the first responsiveness model, we found that there is a clear difference in strategy of responsive and unresponsive individuals. When introducing the responsiveness as a tendency, the same equilibria were found. </w:t>
      </w:r>
      <w:r>
        <w:rPr>
          <w:lang w:val="en-US"/>
        </w:rPr>
        <w:t>In short</w:t>
      </w:r>
      <w:r>
        <w:rPr>
          <w:lang w:val="en-US"/>
        </w:rPr>
        <w:t xml:space="preserve">, both questions have a positive answer. </w:t>
      </w:r>
      <w:bookmarkStart w:id="0" w:name="_GoBack"/>
      <w:bookmarkEnd w:id="0"/>
      <w:r>
        <w:rPr>
          <w:lang w:val="en-US"/>
        </w:rPr>
        <w:t xml:space="preserve"> </w:t>
      </w:r>
    </w:p>
    <w:p w:rsidR="008A66B7" w:rsidRPr="008A66B7" w:rsidRDefault="008A66B7" w:rsidP="008A66B7">
      <w:pPr>
        <w:pStyle w:val="Geenafstand"/>
        <w:rPr>
          <w:lang w:val="en-US"/>
        </w:rPr>
      </w:pPr>
    </w:p>
    <w:sectPr w:rsidR="008A66B7" w:rsidRPr="008A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F569B"/>
    <w:multiLevelType w:val="hybridMultilevel"/>
    <w:tmpl w:val="CED07648"/>
    <w:lvl w:ilvl="0" w:tplc="3266D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B7"/>
    <w:rsid w:val="000A7356"/>
    <w:rsid w:val="008A66B7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6E51"/>
  <w15:chartTrackingRefBased/>
  <w15:docId w15:val="{D1971F75-F0B1-49FA-B1E9-03F3373D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A6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Anna Wolters</cp:lastModifiedBy>
  <cp:revision>1</cp:revision>
  <dcterms:created xsi:type="dcterms:W3CDTF">2019-01-25T11:08:00Z</dcterms:created>
  <dcterms:modified xsi:type="dcterms:W3CDTF">2019-01-25T11:14:00Z</dcterms:modified>
</cp:coreProperties>
</file>