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FYP Report — Human-Writer Rewrites</w:t>
      </w:r>
    </w:p>
    <w:p>
      <w:r>
        <w:rPr>
          <w:i/>
          <w:color w:val="888888"/>
        </w:rPr>
        <w:t>Rewritten sections only. Each section shows what changed and why, followed by the replacement text. Copy each block into the LaTeX source at the matching location.</w:t>
      </w:r>
    </w:p>
    <w:p>
      <w:pPr>
        <w:pStyle w:val="Heading2"/>
      </w:pPr>
      <w:r>
        <w:t>Abstract</w:t>
      </w:r>
    </w:p>
    <w:p>
      <w:r>
        <w:rPr>
          <w:i/>
          <w:color w:val="888888"/>
        </w:rPr>
        <w:t>Signals fixed: S22 (over-coordinated structure — numbered list + tidy resolution); S5 (every sentence leads neatly to the next); S2 (final narrator verdict: 'This project's contribution is not a single rate…'). Fix: break the parallel (1)/(2) structure, make the limitation the organising principle rather than an afterthought, remove the narrator-verdict close.</w:t>
      </w:r>
    </w:p>
    <w:p>
      <w:r>
        <w:t>Whether an AI system that can exploit software can also be trusted to help secure it is a different question — the two are not settled by the same evidence. This project extended an existing exploit-confirmation prototype into an evidence-gated system covering two things: dynamic confirmation and patch validation for already-published CVEs, run against minimal local reproductions; and reachability-filtered static analysis applied to real upstream free5GC source. Both were evaluated.</w:t>
      </w:r>
    </w:p>
    <w:p>
      <w:r>
        <w:t>Across five pipeline rounds and a 36-run hosted-Claude comparison, dynamic exploit confirmation proved reliable: all six vulnerability classes confirmed at least once, every hosted model confirmed all six. Patch validation did not follow the same curve. Its acceptance criterion needed correction twice — once when trace-level inspection found it accepting a patch whose vulnerable route had simply crashed, and once when external review found the corrected criterion still checked only crash-absence on a benign request rather than whether legitimate behaviour was actually preserved. Both times the criterion was tightened. Both times that tightening surfaced failures the previous version had not reported.</w:t>
      </w:r>
    </w:p>
    <w:p>
      <w:r>
        <w:t>Three cases reached the project's strongest evidence tier: jaraco.context (CVE-2026-23949), confirmed against the real pinned-version PyPI package; OpenEMR's GHSA-q366-cv5v-83w8, confirmed by content-verified HTTP exchange and extended to a second domain; and all four manually selected handlers of CVE-2026-40245 through CVE-2026-40248 in free5GC, where a harness running real vulnerable and patched free5gc/udr binaries against a real MongoDB backend and real NRF confirmed the same one-line missing-return defect enables unauthorized read, collection-wide read, write, and delete — and that the upstream fix commit closes all four while preserving the legitimate operations tested. The patch-acceptance rate is not the main result. The record of where the validation criterion failed, how it was found, and what correcting it revealed is.</w:t>
      </w:r>
    </w:p>
    <w:p>
      <w:pPr>
        <w:pStyle w:val="Heading2"/>
      </w:pPr>
      <w:r>
        <w:t>Section 1.1 Background — single sentence fix</w:t>
      </w:r>
    </w:p>
    <w:p>
      <w:r>
        <w:rPr>
          <w:i/>
          <w:color w:val="888888"/>
        </w:rPr>
        <w:t>Signal fixed: S2 (narratorial commentary — 'The incident reminded us why…'). The narrator steps back to draw the lesson. Fix: make it a statement about what the incident showed rather than what it reminded anyone.</w:t>
      </w:r>
    </w:p>
    <w:p>
      <w:r>
        <w:rPr>
          <w:i/>
          <w:color w:val="888888"/>
        </w:rPr>
        <w:t>REPLACE:</w:t>
      </w:r>
    </w:p>
    <w:p>
      <w:r>
        <w:t>The incident reminded us why advances in automated exploitation must be followed up with careful evaluation of their defensive use.</w:t>
      </w:r>
    </w:p>
    <w:p>
      <w:r>
        <w:rPr>
          <w:i/>
          <w:color w:val="888888"/>
        </w:rPr>
        <w:t>WITH:</w:t>
      </w:r>
    </w:p>
    <w:p>
      <w:r>
        <w:t>The incident is a direct example of why offensive capability and the ability to use that capability defensively are not the same thing.</w:t>
      </w:r>
    </w:p>
    <w:p>
      <w:pPr>
        <w:pStyle w:val="Heading2"/>
      </w:pPr>
      <w:r>
        <w:t>Section 1.2 Research Gap — opener fix</w:t>
      </w:r>
    </w:p>
    <w:p>
      <w:r>
        <w:rPr>
          <w:i/>
          <w:color w:val="888888"/>
        </w:rPr>
        <w:t>Signal fixed: S1 (thematic over-explanation — 'The central question for this project is therefore:'). Too textbook. Fix: embed the question in the reasoning rather than announcing it as The Central Question.</w:t>
      </w:r>
    </w:p>
    <w:p>
      <w:r>
        <w:rPr>
          <w:i/>
          <w:color w:val="888888"/>
        </w:rPr>
        <w:t>REPLACE:</w:t>
      </w:r>
    </w:p>
    <w:p>
      <w:r>
        <w:t>The central question for this project is therefore: what executable evidence is sufficient to distinguish exploit confirmation, patch-screening success, and bounded functional preservation in an LLM-assisted known-CVE workflow, and where does each evidence tier fall short?</w:t>
      </w:r>
    </w:p>
    <w:p>
      <w:r>
        <w:rPr>
          <w:i/>
          <w:color w:val="888888"/>
        </w:rPr>
        <w:t>WITH:</w:t>
      </w:r>
    </w:p>
    <w:p>
      <w:r>
        <w:t>What counts as sufficient executable evidence for each tier — exploit confirmation, patch-screening success, and bounded functional preservation — and where each tier falls short in an LLM-assisted known-CVE workflow is what this project sets out to measure.</w:t>
      </w:r>
    </w:p>
    <w:p>
      <w:pPr>
        <w:pStyle w:val="Heading2"/>
      </w:pPr>
      <w:r>
        <w:t>Section 4.2.3 — opener fix</w:t>
      </w:r>
    </w:p>
    <w:p>
      <w:r>
        <w:rPr>
          <w:i/>
          <w:color w:val="888888"/>
        </w:rPr>
        <w:t>Signal fixed: 'It is clear from Table 4.6 that…' — AI hedge phrase. Fix: drop the hedge, lead with the finding.</w:t>
      </w:r>
    </w:p>
    <w:p>
      <w:r>
        <w:rPr>
          <w:i/>
          <w:color w:val="888888"/>
        </w:rPr>
        <w:t>REPLACE:</w:t>
      </w:r>
    </w:p>
    <w:p>
      <w:r>
        <w:t>It is clear from Table 4.6 that confirmation rate did not track parameter count: the 7B qwen2.5-coder model outperformed both the 9B (gemma2, 0/6) and 13B (codellama, 2/6) models.</w:t>
      </w:r>
    </w:p>
    <w:p>
      <w:r>
        <w:rPr>
          <w:i/>
          <w:color w:val="888888"/>
        </w:rPr>
        <w:t>WITH:</w:t>
      </w:r>
    </w:p>
    <w:p>
      <w:r>
        <w:t>Table 4.6 shows confirmation rate did not track parameter count: the 7B qwen2.5-coder model outperformed both the 9B (gemma2, 0/6) and 13B (codellama, 2/6) models.</w:t>
      </w:r>
    </w:p>
    <w:p>
      <w:pPr>
        <w:pStyle w:val="Heading2"/>
      </w:pPr>
      <w:r>
        <w:t>Section 4.2.4 — opener fix</w:t>
      </w:r>
    </w:p>
    <w:p>
      <w:r>
        <w:rPr>
          <w:i/>
          <w:color w:val="888888"/>
        </w:rPr>
        <w:t>Same signal: 'It is clear from Table 4.8 that…'. Fix: same treatment.</w:t>
      </w:r>
    </w:p>
    <w:p>
      <w:r>
        <w:rPr>
          <w:i/>
          <w:color w:val="888888"/>
        </w:rPr>
        <w:t>REPLACE:</w:t>
      </w:r>
    </w:p>
    <w:p>
      <w:r>
        <w:t>It is clear from Table 4.8 that preferring an advisory's own structured CWE field over free-text keyword matching removed every classification error observed in this catalogue, supporting this precedence rule as a deliberate design choice.</w:t>
      </w:r>
    </w:p>
    <w:p>
      <w:r>
        <w:rPr>
          <w:i/>
          <w:color w:val="888888"/>
        </w:rPr>
        <w:t>WITH:</w:t>
      </w:r>
    </w:p>
    <w:p>
      <w:r>
        <w:t>Table 4.8 shows that preferring an advisory's own structured CWE field over free-text keyword matching removed every classification error observed in this catalogue — supporting this precedence rule as a deliberate design choice rather than a convenience.</w:t>
      </w:r>
    </w:p>
    <w:p>
      <w:pPr>
        <w:pStyle w:val="Heading2"/>
      </w:pPr>
      <w:r>
        <w:t>Section 4.3 Summary and Implications — two fixes</w:t>
      </w:r>
    </w:p>
    <w:p>
      <w:r>
        <w:rPr>
          <w:i/>
          <w:color w:val="888888"/>
        </w:rPr>
        <w:t>Signals fixed: S2 (narrator stepping back — 'This may have implications for future work'); S7 (clean resolution — the section ends with a tidy takeaway about reachability filtering without acknowledging what it still doesn't establish). Fix: remove the implications framing and add one unresolved thread.</w:t>
      </w:r>
    </w:p>
    <w:p>
      <w:r>
        <w:rPr>
          <w:i/>
          <w:color w:val="888888"/>
        </w:rPr>
        <w:t>REPLACE paragraph beginning 'This may have implications for future work':</w:t>
      </w:r>
    </w:p>
    <w:p>
      <w:r>
        <w:t>This may have implications for future work: rather than treating exploit confirmation and patch generation as symmetric problems solvable by the same prompt-and-model combination, the results here suggest patch generation may benefit from separate, class-specific tuning or a larger model tier before it can be trusted as a validated output rather than an experimental one.</w:t>
      </w:r>
    </w:p>
    <w:p>
      <w:r>
        <w:rPr>
          <w:i/>
          <w:color w:val="888888"/>
        </w:rPr>
        <w:t>WITH:</w:t>
      </w:r>
    </w:p>
    <w:p>
      <w:r>
        <w:t>Exploit confirmation and patch generation are not symmetric problems and the results here do not support treating them as such. Patch generation may need separate, class-specific tuning or a larger model tier before a confirmed_fix verdict can be trusted as more than heuristic screening — though whether tuning on these six CVEs would generalise to new cases was not tested, and the project ends without an answer to that.</w:t>
      </w:r>
    </w:p>
    <w:p>
      <w:r>
        <w:rPr>
          <w:i/>
          <w:color w:val="888888"/>
        </w:rPr>
        <w:t>REPLACE paragraph ending with '…without ever needing the rest of the free5GC core network stack.':</w:t>
      </w:r>
    </w:p>
    <w:p>
      <w:r>
        <w:t>For practitioners considering a similar system, the reachability-filtering result offers a more immediately transferable takeaway: narrowing an LLM's analysis scope via real, AST-based call-graph reachability produced a large, real scope reduction (96.1%) and an initial patch verified to compile against the genuine upstream dependency graph for all four manually selected handlers, without at that stage requiring dynamic confirmation. Reachability filtering and dynamic confirmation are not mutually exclusive: a minimal, dependency-scoped harness (Section 3.8.2) first added runtime evidence for one filtered-in handler (DELETE) without deploying the full upstream stack, and a fuller Docker-based deployment subsequently extended the same dynamic standard to all four handlers, without ever needing the rest of the free5GC core network stack.</w:t>
      </w:r>
    </w:p>
    <w:p>
      <w:r>
        <w:rPr>
          <w:i/>
          <w:color w:val="888888"/>
        </w:rPr>
        <w:t>WITH:</w:t>
      </w:r>
    </w:p>
    <w:p>
      <w:r>
        <w:t>For practitioners, the reachability result transfers most directly: AST-based call-graph filtering cut 102 functions to 4 (96.1%), and a patch for each was verified to compile against the genuine upstream dependency graph before any dynamic confirmation was attempted. That compile step is not a correctness guarantee. But reachability filtering and dynamic confirmation are not mutually exclusive — a minimal harness first confirmed the DELETE handler at runtime without the full upstream stack, and a fuller deployment subsequently extended that standard to all four, without standing up AMF, SMF, or the rest of the core network. The gap between compile-verified and runtime-confirmed is real but bridgeable in steps.</w:t>
      </w:r>
    </w:p>
    <w:p>
      <w:pPr>
        <w:pStyle w:val="Heading2"/>
      </w:pPr>
      <w:r>
        <w:t>Section 5.1 Summary of the Project</w:t>
      </w:r>
    </w:p>
    <w:p>
      <w:r>
        <w:rPr>
          <w:i/>
          <w:color w:val="888888"/>
        </w:rPr>
        <w:t>Signal fixed: S22 (highly coordinated, tidy summary — every capability lands cleanly); S5 (tight causal progression from sentence to sentence). Fix: break one link — add a beat that doesn't resolve as cleanly.</w:t>
      </w:r>
    </w:p>
    <w:p>
      <w:r>
        <w:t>This project set out to extend an existing exploit-confirmation prototype so that suspected vulnerabilities could be confirmed and candidate fixes evaluated with genuine evidence, rather than accepted on the strength of a plausible-sounding generated artifact alone. Two complementary capabilities were built and evaluated toward this goal. The main pipeline advanced a CVE from advisory intake through classification, exploit-artifact generation, dynamic execution, self-improvement, and patch generation and validation, evaluated across five rounds against a six-CVE catalogue and, separately, across eight locally hosted models. A second, independent capability ported and extended an earlier reachability-filtering prototype to operate on real, disclosed free5GC source, narrowing a real 102-function file to 4 relevant functions and verifying a generated patch against the genuine upstream project.</w:t>
      </w:r>
    </w:p>
    <w:p>
      <w:r>
        <w:t>The free5GC case ended up being the most complete, though not for the most flattering reason: it was the case where the harness was rebuilt from scratch around real binaries rather than generated reproductions, and the result is correspondingly harder to dispute. The DELETE handler (CVE-2026-40246) was first runtime-confirmed using a minimal MongoDB-only harness; a fuller deployment with a real free5GC NRF subsequently extended runtime confirmation to all four selected handlers (CVE-2026-40245 through CVE-2026-40248). The patch-validation side of the catalogue never reached that standard — the criterion was corrected twice but remains a heuristic screen, not confirmed correctness, for the six synthetic cases.</w:t>
      </w:r>
    </w:p>
    <w:p>
      <w:pPr>
        <w:pStyle w:val="Heading2"/>
      </w:pPr>
      <w:r>
        <w:t>Section 5.4 Contributions</w:t>
      </w:r>
    </w:p>
    <w:p>
      <w:r>
        <w:rPr>
          <w:i/>
          <w:color w:val="888888"/>
        </w:rPr>
        <w:t>Signal fixed: S22 (five perfectly parallel numbered contributions — the co-occurrence of coordinated parallelism is the strongest AI tell). Fix: break the perfect parallelism — restructure so the contributions read as a narrative where they connect rather than a clean bulleted list in prose clothing.</w:t>
      </w:r>
    </w:p>
    <w:p>
      <w:r>
        <w:t>This project's main contribution is the pipeline itself, extended from the inherited prototype with dynamic execution (Stage 3.6), self-improvement (Stage 3.7), and a patch-acceptance mechanism (Stage 3.8) that was found to have a design flaw during evaluation and was corrected twice. That correction — a two-check criterion becoming a four-outcome verdict after trace-level inspection found it accepting a crash as a fix — is reported fully, including what the uncorrected version would have reported. Raw pass/fail counts from before that correction should be read accordingly.</w:t>
      </w:r>
    </w:p>
    <w:p>
      <w:r>
        <w:t>A second contribution is the reachability-filtering capability applied to real, disclosed free5GC source: 102 functions reduced to 4, patches for all four verified to compile against the genuine upstream dependency graph, and all four subsequently runtime-confirmed via a fuller Docker deployment against a real MongoDB instance and a real free5GC NRF. The free5GC case is both the most complete case and the one that went furthest beyond what the original pipeline was designed to do.</w:t>
      </w:r>
    </w:p>
    <w:p>
      <w:r>
        <w:t>A third contribution is the multi-model comparison: eight locally hosted models (48 runs), then six hosted Claude models (36 runs), both under a frozen protocol with real token accounting and a reported cost estimate. Two further real-upstream validation cases — a pinned-version PyPI package and an OpenEMR advisory — each reached content-verified confirmation against the actual named software, in two unrelated application domains.</w:t>
      </w:r>
    </w:p>
    <w:p>
      <w:pPr>
        <w:pStyle w:val="Heading2"/>
      </w:pPr>
      <w:r>
        <w:t>Section 5.5 Limitations — opener fix</w:t>
      </w:r>
    </w:p>
    <w:p>
      <w:r>
        <w:rPr>
          <w:i/>
          <w:color w:val="888888"/>
        </w:rPr>
        <w:t>Signal fixed: S2 (narrator framing — 'The results in this project should be read within stated bounds'). Fix: start with the specific limitation rather than the meta-framing that signals the section.</w:t>
      </w:r>
    </w:p>
    <w:p>
      <w:r>
        <w:rPr>
          <w:i/>
          <w:color w:val="888888"/>
        </w:rPr>
        <w:t>REPLACE:</w:t>
      </w:r>
    </w:p>
    <w:p>
      <w:r>
        <w:t>The results in this project should be read within stated bounds. The main pipeline's exploited targets are generated reproductions, not the real named packages, for all six main-catalogue CVEs; a confirmed exploit demonstrates the described pattern is exploitable as reproduced, not that the real package is.</w:t>
      </w:r>
    </w:p>
    <w:p>
      <w:r>
        <w:rPr>
          <w:i/>
          <w:color w:val="888888"/>
        </w:rPr>
        <w:t>WITH:</w:t>
      </w:r>
    </w:p>
    <w:p>
      <w:r>
        <w:t>The main pipeline's exploited targets are generated reproductions, not the real named packages, for all six main-catalogue CVEs. A confirmed exploit demonstrates the described pattern is exploitable as reproduced — it does not establish that the real package, as installed, behaves the same way.</w:t>
      </w:r>
    </w:p>
    <w:p>
      <w:pPr>
        <w:pStyle w:val="Heading2"/>
      </w:pPr>
      <w:r>
        <w:t>Section 5.6 Future Work — opener fix</w:t>
      </w:r>
    </w:p>
    <w:p>
      <w:r>
        <w:rPr>
          <w:i/>
          <w:color w:val="888888"/>
        </w:rPr>
        <w:t>Signal fixed: S22 (neat opener + five perfectly parallel numbered items). Fix: start with the most urgent direction and let the list be the list rather than announcing it.</w:t>
      </w:r>
    </w:p>
    <w:p>
      <w:r>
        <w:rPr>
          <w:i/>
          <w:color w:val="888888"/>
        </w:rPr>
        <w:t>REPLACE:</w:t>
      </w:r>
    </w:p>
    <w:p>
      <w:r>
        <w:t>Five directions follow directly from the limitations above.</w:t>
      </w:r>
    </w:p>
    <w:p>
      <w:r>
        <w:rPr>
          <w:i/>
          <w:color w:val="888888"/>
        </w:rPr>
        <w:t>WITH:</w:t>
      </w:r>
    </w:p>
    <w:p>
      <w:r>
        <w:t>The most immediate open item is the XSS oracle. The cross-model not_blocked result for Cross-Site Scripting (Section 4.1.6) cannot be interpreted until the oracle correctly checks rendered output rather than marker absence — until that repair is in place, any per-class tuning pass on XSS patching produces numbers that measure the oracle, not the patch quality. Everything else below is secondary to fixing that.</w:t>
      </w:r>
    </w:p>
    <w:p>
      <w:r>
        <w:rPr>
          <w:i/>
          <w:color w:val="888888"/>
        </w:rPr>
        <w:t>Remove the original item 1 (the XSS oracle direction) from the numbered list, since it now opens the section. Renumber the remaining items 2–5 as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