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Fascicule de Ressources Pédagogiques SVT 3ᵉ</w:t>
            </w:r>
            <w:r>
              <w:rPr>
                <w:b w:val="0"/>
                <w:i w:val="0"/>
                <w:sz w:val="17"/>
              </w:rPr>
              <w:t>, MEN/DDIS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Faits, chiffres et définitions uniquement — </w:t>
            </w:r>
            <w:r>
              <w:rPr>
                <w:b/>
                <w:i w:val="0"/>
                <w:sz w:val="17"/>
              </w:rPr>
              <w:t>aucune phrase reprise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l'usage du Fascicule de Ressources Pédagogiques.</w:t>
            </w:r>
            <w:r>
              <w:rPr>
                <w:b w:val="0"/>
                <w:i w:val="0"/>
                <w:sz w:val="19"/>
              </w:rPr>
              <w:t xml:space="preserve"> Le FRP a servi de source de faits, jamais de source de texte. L'ensemble du manuel a été contrôlé par n-grammes de 6 mots contre le fascicule intégral : </w:t>
            </w:r>
            <w:r>
              <w:rPr>
                <w:b/>
                <w:i w:val="0"/>
                <w:sz w:val="19"/>
              </w:rPr>
              <w:t>0,00 % de recouvrement</w:t>
            </w:r>
            <w:r>
              <w:rPr>
                <w:b w:val="0"/>
                <w:i w:val="0"/>
                <w:sz w:val="19"/>
              </w:rPr>
              <w:t>. Les images du FRP n'ont pas été reprises. Les écarts de fond assumés par rapport au FRP et au PE — y compris deux erreurs scientifiques qu'il aurait été fautif de propager — sont détaillés en annexe.</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4140"/>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 ; Fascicule de Ressources Pédagogiques SVT 3ᵉ, MEN/DDIS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Enseignant | Apprenants | Technique et Stratégie | Support et Matériel | Observation</w:t>
      </w:r>
      <w:r>
        <w:rPr>
          <w:b w:val="0"/>
          <w:i w:val="0"/>
        </w:rPr>
        <w:t>.</w:t>
      </w:r>
    </w:p>
    <w:p>
      <w:pPr>
        <w:pStyle w:val="Heading3"/>
        <w:spacing w:before="200" w:after="100"/>
      </w:pPr>
      <w:r>
        <w:rPr>
          <w:b/>
          <w:i w:val="0"/>
          <w:color w:val="1E7B34"/>
          <w:sz w:val="24"/>
        </w:rPr>
        <w:t>Volume horaire : comment faire tenir les séances dans les heures du programme</w:t>
      </w:r>
    </w:p>
    <w:p>
      <w:pPr>
        <w:spacing w:after="80"/>
      </w:pPr>
      <w:r>
        <w:rPr>
          <w:b w:val="0"/>
          <w:i w:val="0"/>
        </w:rPr>
        <w:t xml:space="preserve">Le Programme d'Études fixe </w:t>
      </w:r>
      <w:r>
        <w:rPr>
          <w:b/>
          <w:i w:val="0"/>
        </w:rPr>
        <w:t>4 h par semaine, soit 66 h</w:t>
      </w:r>
      <w:r>
        <w:rPr>
          <w:b w:val="0"/>
          <w:i w:val="0"/>
        </w:rPr>
        <w:t xml:space="preserve"> réparties entre les cinq</w:t>
      </w:r>
    </w:p>
    <w:p>
      <w:pPr>
        <w:spacing w:after="80"/>
      </w:pPr>
      <w:r>
        <w:rPr>
          <w:b w:val="0"/>
          <w:i w:val="0"/>
        </w:rPr>
        <w:t xml:space="preserve">unités. Ce manuel compte </w:t>
      </w:r>
      <w:r>
        <w:rPr>
          <w:b/>
          <w:i w:val="0"/>
        </w:rPr>
        <w:t>51 séances</w:t>
      </w:r>
      <w:r>
        <w:rPr>
          <w:b w:val="0"/>
          <w:i w:val="0"/>
        </w:rPr>
        <w:t>. Les deux nombres ne se correspondent pas</w:t>
      </w:r>
    </w:p>
    <w:p>
      <w:pPr>
        <w:spacing w:after="80"/>
      </w:pPr>
      <w:r>
        <w:rPr>
          <w:b w:val="0"/>
          <w:i w:val="0"/>
        </w:rPr>
        <w:t xml:space="preserve">unité par unité : le champ </w:t>
      </w:r>
      <w:r>
        <w:rPr>
          <w:b/>
          <w:i w:val="0"/>
        </w:rPr>
        <w:t>Durée</w:t>
      </w:r>
      <w:r>
        <w:rPr>
          <w:b w:val="0"/>
          <w:i w:val="0"/>
        </w:rPr>
        <w:t xml:space="preserve"> est laissé vide précisément pour que vous</w:t>
      </w:r>
    </w:p>
    <w:p>
      <w:pPr>
        <w:spacing w:after="80"/>
      </w:pPr>
      <w:r>
        <w:rPr>
          <w:b w:val="0"/>
          <w:i w:val="0"/>
        </w:rPr>
        <w:t>arbitriez selon votre emploi du temps et votre classe. Le tableau ci-dessous</w:t>
      </w:r>
    </w:p>
    <w:p>
      <w:pPr>
        <w:spacing w:after="80"/>
      </w:pPr>
      <w:r>
        <w:rPr>
          <w:b w:val="0"/>
          <w:i w:val="0"/>
        </w:rPr>
        <w:t>donne le rapport à respecter pour ne pas dépasser le volume officiel.</w:t>
      </w:r>
    </w:p>
    <w:tbl>
      <w:tblPr>
        <w:tblStyle w:val="TableGrid"/>
        <w:tblW w:type="auto" w:w="0"/>
        <w:jc w:val="center"/>
        <w:tblLayout w:type="autofit"/>
        <w:tblLook w:firstColumn="1" w:firstRow="1" w:lastColumn="0" w:lastRow="0" w:noHBand="0" w:noVBand="1" w:val="04A0"/>
      </w:tblPr>
      <w:tblGrid>
        <w:gridCol w:w="2828"/>
        <w:gridCol w:w="2828"/>
        <w:gridCol w:w="2828"/>
        <w:gridCol w:w="2828"/>
        <w:gridCol w:w="2828"/>
      </w:tblGrid>
      <w:tr>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PE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Séances</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moyen par séance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Marge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50 min</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serrée — regroupez 2 séances si besoin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Organisation des êtres vivants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 — prenez le temps des travaux de groupe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66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51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Unité I : le point de vigilance.</w:t>
            </w:r>
            <w:r>
              <w:rPr>
                <w:b w:val="0"/>
                <w:i w:val="0"/>
                <w:sz w:val="19"/>
              </w:rPr>
              <w:t xml:space="preserve"> C'est la seule unité où le temps manque</w:t>
            </w:r>
          </w:p>
          <w:p>
            <w:pPr>
              <w:spacing w:before="20" w:after="20"/>
            </w:pPr>
            <w:r>
              <w:rPr>
                <w:b w:val="0"/>
                <w:i w:val="0"/>
                <w:sz w:val="19"/>
              </w:rPr>
              <w:t>— 12 séances pour 10 h. Deux solutions, au choix : traiter les séances 2 et 3</w:t>
            </w:r>
          </w:p>
          <w:p>
            <w:pPr>
              <w:spacing w:before="20" w:after="20"/>
            </w:pPr>
            <w:r>
              <w:rPr>
                <w:b w:val="0"/>
                <w:i w:val="0"/>
                <w:sz w:val="19"/>
              </w:rPr>
              <w:t>en une seule fois (les groupes de nutriments se prêtent au tableau unique), ou</w:t>
            </w:r>
          </w:p>
          <w:p>
            <w:pPr>
              <w:spacing w:before="20" w:after="20"/>
            </w:pPr>
            <w:r>
              <w:rPr>
                <w:b w:val="0"/>
                <w:i w:val="0"/>
                <w:sz w:val="19"/>
              </w:rPr>
              <w:t>donner la séance 11 (révision) à faire à la maison et n'en corriger que les</w:t>
            </w:r>
          </w:p>
          <w:p>
            <w:pPr>
              <w:spacing w:before="20" w:after="20"/>
            </w:pPr>
            <w:r>
              <w:rPr>
                <w:b w:val="0"/>
                <w:i w:val="0"/>
                <w:sz w:val="19"/>
              </w:rPr>
              <w:t xml:space="preserve">réponses en classe. </w:t>
            </w:r>
            <w:r>
              <w:rPr>
                <w:b/>
                <w:i w:val="0"/>
                <w:sz w:val="19"/>
              </w:rPr>
              <w:t>Ne sacrifiez pas la séance 12 (examen)</w:t>
            </w:r>
            <w:r>
              <w:rPr>
                <w:b w:val="0"/>
                <w:i w:val="0"/>
                <w:sz w:val="19"/>
              </w:rPr>
              <w:t xml:space="preserve"> : elle est la</w:t>
            </w:r>
          </w:p>
          <w:p>
            <w:pPr>
              <w:spacing w:before="20" w:after="20"/>
            </w:pPr>
            <w:r>
              <w:rPr>
                <w:b w:val="0"/>
                <w:i w:val="0"/>
                <w:sz w:val="19"/>
              </w:rPr>
              <w:t>seule évaluation notée de l'unité.</w:t>
            </w:r>
          </w:p>
          <w:p>
            <w:pPr>
              <w:spacing w:before="20" w:after="20"/>
            </w:pPr>
            <w:r>
              <w:rPr>
                <w:b w:val="0"/>
                <w:i w:val="0"/>
                <w:sz w:val="19"/>
              </w:rPr>
              <w:t>À l'inverse, les unités III et V disposent de marge : c'est là qu'il faut</w:t>
            </w:r>
          </w:p>
          <w:p>
            <w:pPr>
              <w:spacing w:before="20" w:after="60"/>
            </w:pPr>
            <w:r>
              <w:rPr>
                <w:b w:val="0"/>
                <w:i w:val="0"/>
                <w:sz w:val="19"/>
              </w:rPr>
              <w:t>placer les manipulations, les sorties et les mini-projets.</w:t>
            </w:r>
          </w:p>
        </w:tc>
      </w:tr>
    </w:tbl>
    <w:p/>
    <w:p>
      <w:pPr>
        <w:spacing w:after="80"/>
      </w:pPr>
      <w:r>
        <w:rPr>
          <w:b w:val="0"/>
          <w:i w:val="0"/>
        </w:rPr>
        <w:t>Ce rapport est indicatif. Une séance de découverte demande souvent plus de temps</w:t>
      </w:r>
    </w:p>
    <w:p>
      <w:pPr>
        <w:spacing w:after="80"/>
      </w:pPr>
      <w:r>
        <w:rPr>
          <w:b w:val="0"/>
          <w:i w:val="0"/>
        </w:rPr>
        <w:t>qu'une séance d'application, et une classe nombreuse ralentit les travaux de</w:t>
      </w:r>
    </w:p>
    <w:p>
      <w:pPr>
        <w:spacing w:after="80"/>
      </w:pPr>
      <w:r>
        <w:rPr>
          <w:b w:val="0"/>
          <w:i w:val="0"/>
        </w:rPr>
        <w:t xml:space="preserve">groupe. Le tableau donne la </w:t>
      </w:r>
      <w:r>
        <w:rPr>
          <w:b/>
          <w:i w:val="0"/>
        </w:rPr>
        <w:t>moyenne à tenir sur l'unité</w:t>
      </w:r>
      <w:r>
        <w:rPr>
          <w:b w:val="0"/>
          <w:i w:val="0"/>
        </w:rPr>
        <w:t>, pas un minutage à</w:t>
      </w:r>
    </w:p>
    <w:p>
      <w:pPr>
        <w:spacing w:after="80"/>
      </w:pPr>
      <w:r>
        <w:rPr>
          <w:b w:val="0"/>
          <w:i w:val="0"/>
        </w:rPr>
        <w:t>appliquer séance par séance.</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qui ne laissent pas de tache grasse.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 colspan 6)</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Fara doit augmenter sa ration, par exemple en ajoutant des aliments énergétiques à son goûter.</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(4 repas) pour un adolescent, en n'utilisant que des aliments disponibles à Madagascar. Pour chaque repas, indique un féculent, un bâtisseur et un protecteur.</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en s'adaptant à l'état de la personne — l'un en enrichissant, l'autre en allégeant.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1" name="Picture 1"/>
            <wp:cNvGraphicFramePr>
              <a:graphicFrameLocks noChangeAspect="1"/>
            </wp:cNvGraphicFramePr>
            <a:graphic>
              <a:graphicData uri="http://schemas.openxmlformats.org/drawingml/2006/picture">
                <pic:pic>
                  <pic:nvPicPr>
                    <pic:cNvPr id="0" name="plante_organes.png"/>
                    <pic:cNvPicPr/>
                  </pic:nvPicPr>
                  <pic:blipFill>
                    <a:blip r:embed="rId9"/>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39245"/>
            <wp:docPr id="2" name="Picture 2"/>
            <wp:cNvGraphicFramePr>
              <a:graphicFrameLocks noChangeAspect="1"/>
            </wp:cNvGraphicFramePr>
            <a:graphic>
              <a:graphicData uri="http://schemas.openxmlformats.org/drawingml/2006/picture">
                <pic:pic>
                  <pic:nvPicPr>
                    <pic:cNvPr id="0" name="svt9e_racine_zones.png"/>
                    <pic:cNvPicPr/>
                  </pic:nvPicPr>
                  <pic:blipFill>
                    <a:blip r:embed="rId10"/>
                    <a:stretch>
                      <a:fillRect/>
                    </a:stretch>
                  </pic:blipFill>
                  <pic:spPr>
                    <a:xfrm>
                      <a:off x="0" y="0"/>
                      <a:ext cx="4320000" cy="6439245"/>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dans l'ordre suivi par l'eau, de son entrée jusqu'à la feuille :</w:t>
      </w:r>
    </w:p>
    <w:p>
      <w:pPr>
        <w:spacing w:after="80"/>
      </w:pPr>
      <w:r>
        <w:rPr>
          <w:b w:val="0"/>
          <w:i/>
        </w:rPr>
        <w:t>xylème · poil absorbant · feuille · cellules de la racine · tige</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jc w:val="center"/>
      </w:pPr>
      <w:r>
        <w:drawing>
          <wp:inline xmlns:a="http://schemas.openxmlformats.org/drawingml/2006/main" xmlns:pic="http://schemas.openxmlformats.org/drawingml/2006/picture">
            <wp:extent cx="4320000" cy="2356364"/>
            <wp:docPr id="3" name="Picture 3"/>
            <wp:cNvGraphicFramePr>
              <a:graphicFrameLocks noChangeAspect="1"/>
            </wp:cNvGraphicFramePr>
            <a:graphic>
              <a:graphicData uri="http://schemas.openxmlformats.org/drawingml/2006/picture">
                <pic:pic>
                  <pic:nvPicPr>
                    <pic:cNvPr id="0" name="criquet_morphologie.png"/>
                    <pic:cNvPicPr/>
                  </pic:nvPicPr>
                  <pic:blipFill>
                    <a:blip r:embed="rId11"/>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4" name="Picture 4"/>
            <wp:cNvGraphicFramePr>
              <a:graphicFrameLocks noChangeAspect="1"/>
            </wp:cNvGraphicFramePr>
            <a:graphic>
              <a:graphicData uri="http://schemas.openxmlformats.org/drawingml/2006/picture">
                <pic:pic>
                  <pic:nvPicPr>
                    <pic:cNvPr id="0" name="rat_champ.png"/>
                    <pic:cNvPicPr/>
                  </pic:nvPicPr>
                  <pic:blipFill>
                    <a:blip r:embed="rId12"/>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5" name="Picture 5"/>
            <wp:cNvGraphicFramePr>
              <a:graphicFrameLocks noChangeAspect="1"/>
            </wp:cNvGraphicFramePr>
            <a:graphic>
              <a:graphicData uri="http://schemas.openxmlformats.org/drawingml/2006/picture">
                <pic:pic>
                  <pic:nvPicPr>
                    <pic:cNvPr id="0" name="svt9e_poule.png"/>
                    <pic:cNvPicPr/>
                  </pic:nvPicPr>
                  <pic:blipFill>
                    <a:blip r:embed="rId13"/>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6" name="Picture 6"/>
            <wp:cNvGraphicFramePr>
              <a:graphicFrameLocks noChangeAspect="1"/>
            </wp:cNvGraphicFramePr>
            <a:graphic>
              <a:graphicData uri="http://schemas.openxmlformats.org/drawingml/2006/picture">
                <pic:pic>
                  <pic:nvPicPr>
                    <pic:cNvPr id="0" name="svt9e_zebu.png"/>
                    <pic:cNvPicPr/>
                  </pic:nvPicPr>
                  <pic:blipFill>
                    <a:blip r:embed="rId14"/>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39245"/>
            <wp:docPr id="7" name="Picture 7"/>
            <wp:cNvGraphicFramePr>
              <a:graphicFrameLocks noChangeAspect="1"/>
            </wp:cNvGraphicFramePr>
            <a:graphic>
              <a:graphicData uri="http://schemas.openxmlformats.org/drawingml/2006/picture">
                <pic:pic>
                  <pic:nvPicPr>
                    <pic:cNvPr id="0" name="svt9e_racine_zones.png"/>
                    <pic:cNvPicPr/>
                  </pic:nvPicPr>
                  <pic:blipFill>
                    <a:blip r:embed="rId10"/>
                    <a:stretch>
                      <a:fillRect/>
                    </a:stretch>
                  </pic:blipFill>
                  <pic:spPr>
                    <a:xfrm>
                      <a:off x="0" y="0"/>
                      <a:ext cx="4320000" cy="6439245"/>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411163"/>
            <wp:docPr id="8" name="Picture 8"/>
            <wp:cNvGraphicFramePr>
              <a:graphicFrameLocks noChangeAspect="1"/>
            </wp:cNvGraphicFramePr>
            <a:graphic>
              <a:graphicData uri="http://schemas.openxmlformats.org/drawingml/2006/picture">
                <pic:pic>
                  <pic:nvPicPr>
                    <pic:cNvPr id="0" name="svt9e_arc_reflexe.png"/>
                    <pic:cNvPicPr/>
                  </pic:nvPicPr>
                  <pic:blipFill>
                    <a:blip r:embed="rId15"/>
                    <a:stretch>
                      <a:fillRect/>
                    </a:stretch>
                  </pic:blipFill>
                  <pic:spPr>
                    <a:xfrm>
                      <a:off x="0" y="0"/>
                      <a:ext cx="4320000" cy="2411163"/>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les cinq éléments de l'arc réflexe dans l'ordre suivi par l'influx nerveux.</w:t>
      </w:r>
    </w:p>
    <w:p>
      <w:pPr>
        <w:spacing w:after="80"/>
      </w:pPr>
      <w:r>
        <w:rPr>
          <w:b w:val="0"/>
          <w:i/>
        </w:rPr>
        <w:t>muscle · nerf sensitif · organes sensitifs · nerf moteur · moelle épinière</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organes sensitifs → nerf sensitif → moelle épinière → nerf moteur → muscle</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411163"/>
            <wp:docPr id="9" name="Picture 9"/>
            <wp:cNvGraphicFramePr>
              <a:graphicFrameLocks noChangeAspect="1"/>
            </wp:cNvGraphicFramePr>
            <a:graphic>
              <a:graphicData uri="http://schemas.openxmlformats.org/drawingml/2006/picture">
                <pic:pic>
                  <pic:nvPicPr>
                    <pic:cNvPr id="0" name="svt9e_arc_reflexe.png"/>
                    <pic:cNvPicPr/>
                  </pic:nvPicPr>
                  <pic:blipFill>
                    <a:blip r:embed="rId15"/>
                    <a:stretch>
                      <a:fillRect/>
                    </a:stretch>
                  </pic:blipFill>
                  <pic:spPr>
                    <a:xfrm>
                      <a:off x="0" y="0"/>
                      <a:ext cx="4320000" cy="2411163"/>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w:t>
      </w:r>
    </w:p>
    <w:p>
      <w:r>
        <w:br w:type="page"/>
      </w:r>
    </w:p>
    <w:p>
      <w:pPr>
        <w:pStyle w:val="Heading2"/>
        <w:spacing w:before="200" w:after="100"/>
      </w:pPr>
      <w:r>
        <w:rPr>
          <w:b/>
          <w:i w:val="0"/>
          <w:color w:val="C00000"/>
          <w:sz w:val="28"/>
        </w:rPr>
        <w:t>Écarts assumés par rapport au FRP — Organisation des êtres vivants — plantes</w:t>
      </w:r>
    </w:p>
    <w:p>
      <w:pPr>
        <w:spacing w:after="80"/>
      </w:pPr>
      <w:r>
        <w:rPr>
          <w:b w:val="0"/>
          <w:i w:val="0"/>
        </w:rPr>
        <w:t>Trois points où je me suis écarté de la ressource du Ministère, avec la justification :</w:t>
      </w:r>
    </w:p>
    <w:p>
      <w:pPr>
        <w:spacing w:after="80"/>
      </w:pPr>
      <w:r>
        <w:rPr>
          <w:b/>
          <w:i w:val="0"/>
        </w:rPr>
        <w:t>1. La confusion neem / voandelaka (RES 2.e).</w:t>
      </w:r>
    </w:p>
    <w:p>
      <w:pPr>
        <w:spacing w:after="80"/>
      </w:pPr>
      <w:r>
        <w:rPr>
          <w:b w:val="0"/>
          <w:i w:val="0"/>
        </w:rPr>
        <w:t xml:space="preserve">Le FRP écrit « le neem (voandelaka) », comme si les deux noms désignaient le même arbre. Ce sont </w:t>
      </w:r>
      <w:r>
        <w:rPr>
          <w:b/>
          <w:i w:val="0"/>
        </w:rPr>
        <w:t>deux espèces distinctes</w:t>
      </w:r>
      <w:r>
        <w:rPr>
          <w:b w:val="0"/>
          <w:i w:val="0"/>
        </w:rPr>
        <w:t xml:space="preserve"> de la famille des Méliacées : le neem est </w:t>
      </w:r>
      <w:r>
        <w:rPr>
          <w:b w:val="0"/>
          <w:i/>
        </w:rPr>
        <w:t>Azadirachta indica</w:t>
      </w:r>
      <w:r>
        <w:rPr>
          <w:b w:val="0"/>
          <w:i w:val="0"/>
        </w:rPr>
        <w:t xml:space="preserve">, le voandelaka des Hautes Terres est </w:t>
      </w:r>
      <w:r>
        <w:rPr>
          <w:b w:val="0"/>
          <w:i/>
        </w:rPr>
        <w:t>Melia azedarach</w:t>
      </w:r>
      <w:r>
        <w:rPr>
          <w:b w:val="0"/>
          <w:i w:val="0"/>
        </w:rPr>
        <w:t xml:space="preserve"> (lilas de Perse, « faux neem »). La confusion est répandue et vient de leurs propriétés voisines, mais un cours de sciences ne peut pas l'entériner. La leçon 17 nomme les deux espèces et explique la confusion, ce qui transforme l'erreur en point d'apprentissage.</w:t>
      </w:r>
    </w:p>
    <w:p>
      <w:pPr>
        <w:spacing w:after="80"/>
      </w:pPr>
      <w:r>
        <w:rPr>
          <w:b/>
          <w:i w:val="0"/>
        </w:rPr>
        <w:t>2. L'absence d'avertissement de toxicité (RES 2.e).</w:t>
      </w:r>
    </w:p>
    <w:p>
      <w:pPr>
        <w:spacing w:after="80"/>
      </w:pPr>
      <w:r>
        <w:rPr>
          <w:b w:val="0"/>
          <w:i w:val="0"/>
        </w:rPr>
        <w:t xml:space="preserve">Le FRP présente le voandelaka comme une solution naturelle sans mentionner que </w:t>
      </w:r>
      <w:r>
        <w:rPr>
          <w:b/>
          <w:i w:val="0"/>
        </w:rPr>
        <w:t>toutes les parties de l'arbre sont toxiques</w:t>
      </w:r>
      <w:r>
        <w:rPr>
          <w:b w:val="0"/>
          <w:i w:val="0"/>
        </w:rPr>
        <w:t xml:space="preserve"> et que l'ingestion de quelques fruits suffit à provoquer une intoxication grave. Recommander une plante à des élèves de 14 ans sans cette précaution est problématique. La leçon 17 consacre une section entière au principe « naturel ne veut pas dire sans danger ».</w:t>
      </w:r>
    </w:p>
    <w:p>
      <w:pPr>
        <w:spacing w:after="80"/>
      </w:pPr>
      <w:r>
        <w:rPr>
          <w:b/>
          <w:i w:val="0"/>
        </w:rPr>
        <w:t>3. Le conseil d'arrosage (RES 2.c).</w:t>
      </w:r>
    </w:p>
    <w:p>
      <w:pPr>
        <w:spacing w:after="80"/>
      </w:pPr>
      <w:r>
        <w:rPr>
          <w:b w:val="0"/>
          <w:i w:val="0"/>
        </w:rPr>
        <w:t>Le FRP affirme que les plantes arrosées quotidiennement « deviendront paresseuses » et invite à laisser le végétal « chercher » lui-même son eau. La formulation prête le flanc à la critique : une plante ne « cherche » rien, et le conseil pris au pied de la lettre conduit à laisser dépérir de jeunes plants. L'idée sous-jacente est juste — un arrosage abondant et espacé favorise un enracinement profond — et c'est elle que j'ai retenue, sous le nom d'</w:t>
      </w:r>
      <w:r>
        <w:rPr>
          <w:b/>
          <w:i w:val="0"/>
        </w:rPr>
        <w:t>arrosage raisonné</w:t>
      </w:r>
      <w:r>
        <w:rPr>
          <w:b w:val="0"/>
          <w:i w:val="0"/>
        </w:rPr>
        <w:t>, en insistant sur l'observation préalable du sol.</w:t>
      </w:r>
    </w:p>
    <w:p>
      <w:pPr>
        <w:spacing w:after="80"/>
      </w:pPr>
      <w:r>
        <w:rPr>
          <w:b/>
          <w:i w:val="0"/>
        </w:rPr>
        <w:t>Ajout hors FRP</w:t>
      </w:r>
      <w:r>
        <w:rPr>
          <w:b w:val="0"/>
          <w:i w:val="0"/>
        </w:rPr>
        <w:t xml:space="preserve"> : la séance 18 comprend un volet </w:t>
      </w:r>
      <w:r>
        <w:rPr>
          <w:b/>
          <w:i w:val="0"/>
        </w:rPr>
        <w:t>sécurité</w:t>
      </w:r>
      <w:r>
        <w:rPr>
          <w:b w:val="0"/>
          <w:i w:val="0"/>
        </w:rPr>
        <w:t xml:space="preserve"> (règles de protection, délai avant récolte, protection des pollinisateurs) absent de RES 2.f, qui se limite à définir les trois classes de pesticides. Ce volet me paraît indispensable dans un manuel destiné à des élèves vivant en milieu agricole.</w:t>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Écarts assumés et choix de traitement — Organisation des êtres vivants — élevage</w:t>
      </w:r>
    </w:p>
    <w:p>
      <w:pPr>
        <w:spacing w:after="80"/>
      </w:pPr>
      <w:r>
        <w:rPr>
          <w:b w:val="0"/>
          <w:i w:val="0"/>
        </w:rPr>
        <w:t xml:space="preserve">Le FRP n'étant d'aucun secours ici, les écarts ne portent pas sur lui mais sur </w:t>
      </w:r>
      <w:r>
        <w:rPr>
          <w:b/>
          <w:i w:val="0"/>
        </w:rPr>
        <w:t>la documentation vétérinaire professionnelle</w:t>
      </w:r>
      <w:r>
        <w:rPr>
          <w:b w:val="0"/>
          <w:i w:val="0"/>
        </w:rPr>
        <w:t>, qui n'est pas directement transposable en classe de T9.</w:t>
      </w:r>
    </w:p>
    <w:p>
      <w:pPr>
        <w:spacing w:after="80"/>
      </w:pPr>
      <w:r>
        <w:rPr>
          <w:b/>
          <w:i w:val="0"/>
        </w:rPr>
        <w:t>1. Les protocoles d'injection ont été écartés.</w:t>
      </w:r>
      <w:r>
        <w:rPr>
          <w:b w:val="0"/>
          <w:i w:val="0"/>
        </w:rPr>
        <w:t xml:space="preserve"> Les fiches techniques de vaccination détaillent les gestes d'administration — dilutions, volumes, voies d'injection. Ces informations s'adressent à des agents formés. Un manuel scolaire qui les reproduirait inciterait des élèves à pratiquer eux-mêmes des actes vétérinaires. La séance 21 enseigne donc </w:t>
      </w:r>
      <w:r>
        <w:rPr>
          <w:b/>
          <w:i w:val="0"/>
        </w:rPr>
        <w:t>pourquoi et quand</w:t>
      </w:r>
      <w:r>
        <w:rPr>
          <w:b w:val="0"/>
          <w:i w:val="0"/>
        </w:rPr>
        <w:t xml:space="preserve"> vacciner, et renvoie explicitement l'acte lui-même à l'agent vétérinaire.</w:t>
      </w:r>
    </w:p>
    <w:p>
      <w:pPr>
        <w:spacing w:after="80"/>
      </w:pPr>
      <w:r>
        <w:rPr>
          <w:b/>
          <w:i w:val="0"/>
        </w:rPr>
        <w:t>2. Les méthodes d'euthanasie ont été écartées</w:t>
      </w:r>
      <w:r>
        <w:rPr>
          <w:b w:val="0"/>
          <w:i w:val="0"/>
        </w:rPr>
        <w:t xml:space="preserve"> pour la même raison, sans mention ni allusion.</w:t>
      </w:r>
    </w:p>
    <w:p>
      <w:pPr>
        <w:spacing w:after="80"/>
      </w:pPr>
      <w:r>
        <w:rPr>
          <w:b/>
          <w:i w:val="0"/>
        </w:rPr>
        <w:t>3. La densité en cage (25 oiseaux/m²) n'a pas été reprise.</w:t>
      </w:r>
      <w:r>
        <w:rPr>
          <w:b w:val="0"/>
          <w:i w:val="0"/>
        </w:rPr>
        <w:t xml:space="preserve"> Elle concerne l'élevage industriel en claustration, hors de portée et hors de propos pour l'élevage familial visé par le PE. La retenir aurait donné une norme inapplicable, et discutable du point de vue de la valeur </w:t>
      </w:r>
      <w:r>
        <w:rPr>
          <w:b w:val="0"/>
          <w:i/>
        </w:rPr>
        <w:t>respect de toute vie</w:t>
      </w:r>
      <w:r>
        <w:rPr>
          <w:b w:val="0"/>
          <w:i w:val="0"/>
        </w:rPr>
        <w:t xml:space="preserve"> portée par la thématique.</w:t>
      </w:r>
    </w:p>
    <w:p>
      <w:pPr>
        <w:spacing w:after="80"/>
      </w:pPr>
      <w:r>
        <w:rPr>
          <w:b/>
          <w:i w:val="0"/>
        </w:rPr>
        <w:t>4. La part de patate douce dans la ration a été arrondie prudemment.</w:t>
      </w:r>
      <w:r>
        <w:rPr>
          <w:b w:val="0"/>
          <w:i w:val="0"/>
        </w:rPr>
        <w:t xml:space="preserve"> La source indique « jusqu'à 35 % » ; la leçon écrit « jusqu'à environ un tiers », formulation plus sûre pour un usage sans balance de précision.</w:t>
      </w:r>
    </w:p>
    <w:p>
      <w:pPr>
        <w:spacing w:after="80"/>
      </w:pPr>
      <w:r>
        <w:rPr>
          <w:b/>
          <w:i w:val="0"/>
        </w:rPr>
        <w:t>5. Le chiffre de perte de poids du zébu en saison sèche</w:t>
      </w:r>
      <w:r>
        <w:rPr>
          <w:b w:val="0"/>
          <w:i w:val="0"/>
        </w:rPr>
        <w:t xml:space="preserve"> est donné dans la fourchette basse de la source (« parfois un quart de leur masse » pour 25-30 %), afin de ne pas surestimer un phénomène qui varie fortement selon les régions.</w:t>
      </w:r>
    </w:p>
    <w:p>
      <w:r>
        <w:br w:type="page"/>
      </w:r>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Écarts assumés par rapport au FRP — Santé et bien-être</w:t>
      </w:r>
    </w:p>
    <w:p>
      <w:pPr>
        <w:spacing w:after="80"/>
      </w:pPr>
      <w:r>
        <w:rPr>
          <w:b w:val="0"/>
          <w:i w:val="0"/>
        </w:rPr>
        <w:t>Quatre corrections apportées au « précis de cours » RES 3.b et à RES 3.d.</w:t>
      </w:r>
    </w:p>
    <w:p>
      <w:pPr>
        <w:spacing w:after="80"/>
      </w:pPr>
      <w:r>
        <w:rPr>
          <w:b/>
          <w:i w:val="0"/>
        </w:rPr>
        <w:t>1. La salivation devant un citron, classée deux fois (RES 3.b).</w:t>
      </w:r>
    </w:p>
    <w:p>
      <w:pPr>
        <w:spacing w:after="80"/>
      </w:pPr>
      <w:r>
        <w:rPr>
          <w:b w:val="0"/>
          <w:i w:val="0"/>
        </w:rPr>
        <w:t xml:space="preserve">Le tableau comparatif du FRP fait figurer la « salivation » devant un « citron coupé en deux » </w:t>
      </w:r>
      <w:r>
        <w:rPr>
          <w:b/>
          <w:i w:val="0"/>
        </w:rPr>
        <w:t>à la fois</w:t>
      </w:r>
      <w:r>
        <w:rPr>
          <w:b w:val="0"/>
          <w:i w:val="0"/>
        </w:rPr>
        <w:t xml:space="preserve"> dans la colonne des mouvements réflexes innés </w:t>
      </w:r>
      <w:r>
        <w:rPr>
          <w:b/>
          <w:i w:val="0"/>
        </w:rPr>
        <w:t>et</w:t>
      </w:r>
      <w:r>
        <w:rPr>
          <w:b w:val="0"/>
          <w:i w:val="0"/>
        </w:rPr>
        <w:t xml:space="preserve"> dans celle des mouvements réflexes acquis. C'est contradictoire, et c'est précisément l'exemple qu'un élève retiendra. J'ai tranché en introduisant le critère de discrimination : la salivation par </w:t>
      </w:r>
      <w:r>
        <w:rPr>
          <w:b/>
          <w:i w:val="0"/>
        </w:rPr>
        <w:t>contact</w:t>
      </w:r>
      <w:r>
        <w:rPr>
          <w:b w:val="0"/>
          <w:i w:val="0"/>
        </w:rPr>
        <w:t xml:space="preserve"> de l'acide sur la langue est innée, la salivation à la </w:t>
      </w:r>
      <w:r>
        <w:rPr>
          <w:b/>
          <w:i w:val="0"/>
        </w:rPr>
        <w:t>vue</w:t>
      </w:r>
      <w:r>
        <w:rPr>
          <w:b w:val="0"/>
          <w:i w:val="0"/>
        </w:rPr>
        <w:t xml:space="preserve"> est acquise, puisqu'elle suppose d'avoir déjà goûté. La séance 28 utilise cette contradiction comme exercice de raisonnement.</w:t>
      </w:r>
    </w:p>
    <w:p>
      <w:pPr>
        <w:spacing w:after="80"/>
      </w:pPr>
      <w:r>
        <w:rPr>
          <w:b/>
          <w:i w:val="0"/>
        </w:rPr>
        <w:t>2. Le cervelet présenté comme centre de réflexes (RES 3.b).</w:t>
      </w:r>
    </w:p>
    <w:p>
      <w:pPr>
        <w:spacing w:after="80"/>
      </w:pPr>
      <w:r>
        <w:rPr>
          <w:b w:val="0"/>
          <w:i w:val="0"/>
        </w:rPr>
        <w:t xml:space="preserve">Le FRP retient comme centres possibles du mouvement réflexe inné le « cervelet », le « bulbe rachidien » ou la « moelle épinière ». Le cervelet n'est pas un centre de réflexes : il assure la coordination des mouvements et l'équilibre. Les centres à retenir sont la </w:t>
      </w:r>
      <w:r>
        <w:rPr>
          <w:b/>
          <w:i w:val="0"/>
        </w:rPr>
        <w:t>moelle épinière</w:t>
      </w:r>
      <w:r>
        <w:rPr>
          <w:b w:val="0"/>
          <w:i w:val="0"/>
        </w:rPr>
        <w:t xml:space="preserve"> et le </w:t>
      </w:r>
      <w:r>
        <w:rPr>
          <w:b/>
          <w:i w:val="0"/>
        </w:rPr>
        <w:t>tronc cérébral</w:t>
      </w:r>
      <w:r>
        <w:rPr>
          <w:b w:val="0"/>
          <w:i w:val="0"/>
        </w:rPr>
        <w:t xml:space="preserve"> (qui comprend le bulbe). La séance 27 signale explicitement cette confusion.</w:t>
      </w:r>
    </w:p>
    <w:p>
      <w:pPr>
        <w:spacing w:after="80"/>
      </w:pPr>
      <w:r>
        <w:rPr>
          <w:b/>
          <w:i w:val="0"/>
        </w:rPr>
        <w:t>3. Durée de sommeil du nouveau-né (RES 3.d).</w:t>
      </w:r>
    </w:p>
    <w:p>
      <w:pPr>
        <w:spacing w:after="80"/>
      </w:pPr>
      <w:r>
        <w:rPr>
          <w:b w:val="0"/>
          <w:i w:val="0"/>
        </w:rPr>
        <w:t xml:space="preserve">Le FRP indique 20 heures. Les recommandations internationales actuelles retiennent </w:t>
      </w:r>
      <w:r>
        <w:rPr>
          <w:b/>
          <w:i w:val="0"/>
        </w:rPr>
        <w:t>14 à 17 heures</w:t>
      </w:r>
      <w:r>
        <w:rPr>
          <w:b w:val="0"/>
          <w:i w:val="0"/>
        </w:rPr>
        <w:t>. Le tableau de la séance 33 reprend les fourchettes actuelles et la note le précise. Les autres lignes du FRP sont en revanche cohérentes avec ces recommandations.</w:t>
      </w:r>
    </w:p>
    <w:p>
      <w:pPr>
        <w:spacing w:after="80"/>
      </w:pPr>
      <w:r>
        <w:rPr>
          <w:b/>
          <w:i w:val="0"/>
        </w:rPr>
        <w:t>4. Phrase défectueuse dans l'exemple de MRA (RES 3.b).</w:t>
      </w:r>
    </w:p>
    <w:p>
      <w:pPr>
        <w:spacing w:after="80"/>
      </w:pPr>
      <w:r>
        <w:rPr>
          <w:b w:val="0"/>
          <w:i w:val="0"/>
        </w:rPr>
        <w:t>Le FRP donne pour exemple le geste de freinage d'un conducteur, mais la phrase est amputée de sa syntaxe et contient un adverbe (« doucement ») qui la rend incompréhensible. L'exemple lui-même est juste, il a été reformulé : freiner à la vue d'un piéton qui s'engage sur la route.</w:t>
      </w:r>
    </w:p>
    <w:p>
      <w:pPr>
        <w:spacing w:after="80"/>
      </w:pPr>
      <w:r>
        <w:rPr>
          <w:b/>
          <w:i w:val="0"/>
        </w:rPr>
        <w:t>Ajouts hors FRP</w:t>
      </w:r>
      <w:r>
        <w:rPr>
          <w:b w:val="0"/>
          <w:i w:val="0"/>
        </w:rPr>
        <w:t xml:space="preserve"> : la distinction excitants / sédatifs / hallucinogènes de la séance 31 reprend la terminologie du </w:t>
      </w:r>
      <w:r>
        <w:rPr>
          <w:b/>
          <w:i w:val="0"/>
        </w:rPr>
        <w:t>PE lui-même</w:t>
      </w:r>
      <w:r>
        <w:rPr>
          <w:b w:val="0"/>
          <w:i w:val="0"/>
        </w:rPr>
        <w:t xml:space="preserve"> (« sédatifs, hallucinogènes, excitants »), qui est plus claire pour des élèves que le classement du FRP par statut légal (« substances autorisées / substances illicites ») — ce dernier laisse d'ailleurs croire que l'autorisation garantit l'innocuité, contresens que la leçon 31 corrige explicitement. Les notions d'</w:t>
      </w:r>
      <w:r>
        <w:rPr>
          <w:b/>
          <w:i w:val="0"/>
        </w:rPr>
        <w:t>accoutumance</w:t>
      </w:r>
      <w:r>
        <w:rPr>
          <w:b w:val="0"/>
          <w:i w:val="0"/>
        </w:rPr>
        <w:t xml:space="preserve"> et de </w:t>
      </w:r>
      <w:r>
        <w:rPr>
          <w:b/>
          <w:i w:val="0"/>
        </w:rPr>
        <w:t>dépendance</w:t>
      </w:r>
      <w:r>
        <w:rPr>
          <w:b w:val="0"/>
          <w:i w:val="0"/>
        </w:rPr>
        <w:t>, absentes du FRP, sont indispensables pour comprendre pourquoi l'arrêt est difficile.</w:t>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Écarts assumés — section critique — Reproduction humaine</w:t>
      </w:r>
    </w:p>
    <w:p>
      <w:pPr>
        <w:spacing w:after="80"/>
      </w:pPr>
      <w:r>
        <w:rPr>
          <w:b w:val="0"/>
          <w:i w:val="0"/>
        </w:rPr>
        <w:t xml:space="preserve">Cette unité est celle qui a demandé le plus de corrections. </w:t>
      </w:r>
      <w:r>
        <w:rPr>
          <w:b/>
          <w:i w:val="0"/>
        </w:rPr>
        <w:t>Trois erreurs médicales graves</w:t>
      </w:r>
      <w:r>
        <w:rPr>
          <w:b w:val="0"/>
          <w:i w:val="0"/>
        </w:rPr>
        <w:t xml:space="preserve"> figurent dans les sources officielles, dont une dans le PE lui-même.</w:t>
      </w:r>
    </w:p>
    <w:p>
      <w:pPr>
        <w:pStyle w:val="Heading3"/>
        <w:spacing w:before="200" w:after="100"/>
      </w:pPr>
      <w:r>
        <w:rPr>
          <w:b/>
          <w:i w:val="0"/>
          <w:color w:val="1E7B34"/>
          <w:sz w:val="24"/>
        </w:rPr>
        <w:t>⛔ 1. Le FRP décrit le cancer de l'ENDOMÈTRE sous le titre « cancer du col de l'utérus »</w:t>
      </w:r>
    </w:p>
    <w:p>
      <w:pPr>
        <w:spacing w:after="80"/>
      </w:pPr>
      <w:r>
        <w:rPr>
          <w:b w:val="0"/>
          <w:i w:val="0"/>
        </w:rPr>
        <w:t>C'est l'erreur la plus sérieuse rencontrée dans l'ensemble de ce travail.</w:t>
      </w:r>
    </w:p>
    <w:p>
      <w:pPr>
        <w:spacing w:after="80"/>
      </w:pPr>
      <w:r>
        <w:rPr>
          <w:b w:val="0"/>
          <w:i w:val="0"/>
        </w:rPr>
        <w:t xml:space="preserve">La ressource </w:t>
      </w:r>
      <w:r>
        <w:rPr>
          <w:b/>
          <w:i w:val="0"/>
        </w:rPr>
        <w:t>RES 4.d</w:t>
      </w:r>
      <w:r>
        <w:rPr>
          <w:b w:val="0"/>
          <w:i w:val="0"/>
        </w:rPr>
        <w:t xml:space="preserve"> s'intitule « Cancer du col de l'utérus ». Son introduction et sa section anatomie sont exactes. Mais les sections </w:t>
      </w:r>
      <w:r>
        <w:rPr>
          <w:b/>
          <w:i w:val="0"/>
        </w:rPr>
        <w:t>« 3. Causes »</w:t>
      </w:r>
      <w:r>
        <w:rPr>
          <w:b w:val="0"/>
          <w:i w:val="0"/>
        </w:rPr>
        <w:t xml:space="preserve"> et </w:t>
      </w:r>
      <w:r>
        <w:rPr>
          <w:b/>
          <w:i w:val="0"/>
        </w:rPr>
        <w:t>« 5. Types »</w:t>
      </w:r>
      <w:r>
        <w:rPr>
          <w:b w:val="0"/>
          <w:i w:val="0"/>
        </w:rPr>
        <w:t xml:space="preserve"> décrivent </w:t>
      </w:r>
      <w:r>
        <w:rPr>
          <w:b/>
          <w:i w:val="0"/>
        </w:rPr>
        <w:t>une tout autre maladie</w:t>
      </w:r>
      <w:r>
        <w:rPr>
          <w:b w:val="0"/>
          <w:i w:val="0"/>
        </w:rPr>
        <w:t xml:space="preserve"> : le </w:t>
      </w:r>
      <w:r>
        <w:rPr>
          <w:b/>
          <w:i w:val="0"/>
        </w:rPr>
        <w:t>cancer de l'endomètre</w:t>
      </w:r>
      <w:r>
        <w:rPr>
          <w:b w:val="0"/>
          <w:i w:val="0"/>
        </w:rPr>
        <w:t>, qui touche la muqueuse du corps de l'utérus.</w:t>
      </w:r>
    </w:p>
    <w:p>
      <w:pPr>
        <w:spacing w:after="80"/>
      </w:pPr>
      <w:r>
        <w:rPr>
          <w:b w:val="0"/>
          <w:i w:val="0"/>
        </w:rPr>
        <w:t xml:space="preserve">Le FRP y écrit textuellement, dans une section censée traiter le col, qu'il existe des types I et II « du cancer de </w:t>
      </w:r>
      <w:r>
        <w:rPr>
          <w:b/>
          <w:i w:val="0"/>
        </w:rPr>
        <w:t>l'endomètre</w:t>
      </w:r>
      <w:r>
        <w:rPr>
          <w:b w:val="0"/>
          <w:i w:val="0"/>
        </w:rPr>
        <w:t xml:space="preserve"> » — il nomme donc lui-même l'autre maladie. Et il énumère comme facteurs de risque du cancer du col : élévation du taux d'œstrogènes, obésité, tamoxifène, syndrome de Lynch, syndrome des ovaires polykystiques, âge supérieur à 45 ans.</w:t>
      </w:r>
    </w:p>
    <w:p>
      <w:pPr>
        <w:spacing w:after="80"/>
      </w:pPr>
      <w:r>
        <w:rPr>
          <w:b/>
          <w:i w:val="0"/>
        </w:rPr>
        <w:t>Ce sont les facteurs de risque du cancer de l'endomètre, pas du cancer du col.</w:t>
      </w:r>
      <w:r>
        <w:rPr>
          <w:b w:val="0"/>
          <w:i w:val="0"/>
        </w:rPr>
        <w:t xml:space="preserve"> Deux maladies distinctes ont été fusionnées.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 de l'utérus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~99 % des cas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syndrome de Lynch</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Le danger pédagogique est direct.</w:t>
      </w:r>
      <w:r>
        <w:rPr>
          <w:b w:val="0"/>
          <w:i w:val="0"/>
        </w:rPr>
        <w:t xml:space="preserve"> En enseignant la version du FRP, on apprend à des élèves que le cancer du col serait lié à l'obésité et à l'âge — et </w:t>
      </w:r>
      <w:r>
        <w:rPr>
          <w:b/>
          <w:i w:val="0"/>
        </w:rPr>
        <w:t>on omet le tabac</w:t>
      </w:r>
      <w:r>
        <w:rPr>
          <w:b w:val="0"/>
          <w:i w:val="0"/>
        </w:rPr>
        <w:t>, qui est le principal facteur de risque après le HPV. Une jeune fille retiendrait qu'elle n'est pas concernée avant 45 ans, ce qui est faux, et ignorerait que fumer double son risque.</w:t>
      </w:r>
    </w:p>
    <w:p>
      <w:pPr>
        <w:spacing w:after="80"/>
      </w:pPr>
      <w:r>
        <w:rPr>
          <w:b/>
          <w:i w:val="0"/>
        </w:rPr>
        <w:t>Décision</w:t>
      </w:r>
      <w:r>
        <w:rPr>
          <w:b w:val="0"/>
          <w:i w:val="0"/>
        </w:rPr>
        <w:t xml:space="preserve"> : les séances 39 et 40 ne reprennent du FRP que ce qui concerne réellement le col — l'introduction, l'anatomie, le dépistage, la vaccination, sections exactes et bien documentées. </w:t>
      </w:r>
      <w:r>
        <w:rPr>
          <w:b/>
          <w:i w:val="0"/>
        </w:rPr>
        <w:t>Toute la section « Causes » et toute la section « Types » ont été écartées</w:t>
      </w:r>
      <w:r>
        <w:rPr>
          <w:b w:val="0"/>
          <w:i w:val="0"/>
        </w:rPr>
        <w:t xml:space="preserve"> et remplacées par les facteurs de risque réels, vérifiés auprès de sources indépendantes concordantes.</w:t>
      </w:r>
    </w:p>
    <w:p>
      <w:pPr>
        <w:pStyle w:val="Heading3"/>
        <w:spacing w:before="200" w:after="100"/>
      </w:pPr>
      <w:r>
        <w:rPr>
          <w:b/>
          <w:i w:val="0"/>
          <w:color w:val="1E7B34"/>
          <w:sz w:val="24"/>
        </w:rPr>
        <w:t>⛔ 2. Le PE attribue au cancer du col les causes de la fistule</w:t>
      </w:r>
    </w:p>
    <w:p>
      <w:pPr>
        <w:spacing w:after="80"/>
      </w:pPr>
      <w:r>
        <w:rPr>
          <w:b w:val="0"/>
          <w:i w:val="0"/>
        </w:rPr>
        <w:t>Le programme d'études lui-même énonce, à la ligne « Cancer du col de l'utérus »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val="0"/>
                <w:i/>
                <w:sz w:val="19"/>
              </w:rPr>
              <w:t>Causes : grossesse précoce, absence ou irrégularité des suivis avant la naissance, accouchement qui se prolonge, agent pathogène comme le VPH</w:t>
            </w:r>
          </w:p>
          <w:p>
            <w:pPr>
              <w:spacing w:before="20" w:after="60"/>
            </w:pPr>
            <w:r>
              <w:rPr>
                <w:b w:val="0"/>
                <w:i/>
                <w:sz w:val="19"/>
              </w:rPr>
              <w:t>(citation abrégée du PE ; les trois premiers items y sont rédigés dans les mêmes termes qu'à la ligne « fistule »)</w:t>
            </w:r>
          </w:p>
        </w:tc>
      </w:tr>
    </w:tbl>
    <w:p/>
    <w:p>
      <w:pPr>
        <w:spacing w:after="80"/>
      </w:pPr>
      <w:r>
        <w:rPr>
          <w:b w:val="0"/>
          <w:i w:val="0"/>
        </w:rPr>
        <w:t xml:space="preserve">Les trois premiers éléments sont les causes de la </w:t>
      </w:r>
      <w:r>
        <w:rPr>
          <w:b/>
          <w:i w:val="0"/>
        </w:rPr>
        <w:t>fistule obstétricale</w:t>
      </w:r>
      <w:r>
        <w:rPr>
          <w:b w:val="0"/>
          <w:i w:val="0"/>
        </w:rPr>
        <w:t>, manifestement recopiés de la ligne précédente. Seul le dernier — le VPH — est exact.</w:t>
      </w:r>
    </w:p>
    <w:p>
      <w:pPr>
        <w:spacing w:after="80"/>
      </w:pPr>
      <w:r>
        <w:rPr>
          <w:b w:val="0"/>
          <w:i w:val="0"/>
        </w:rPr>
        <w:t xml:space="preserve">Un travail d'accouchement prolongé </w:t>
      </w:r>
      <w:r>
        <w:rPr>
          <w:b/>
          <w:i w:val="0"/>
        </w:rPr>
        <w:t>ne provoque pas</w:t>
      </w:r>
      <w:r>
        <w:rPr>
          <w:b w:val="0"/>
          <w:i w:val="0"/>
        </w:rPr>
        <w:t xml:space="preserve"> de cancer du col. Le mécanisme est entièrement différent : d'un côté une compression mécanique des tissus, de l'autre une infection virale persistante évoluant sur quinze à vingt ans.</w:t>
      </w:r>
    </w:p>
    <w:p>
      <w:pPr>
        <w:spacing w:after="80"/>
      </w:pPr>
      <w:r>
        <w:rPr>
          <w:b/>
          <w:i w:val="0"/>
        </w:rPr>
        <w:t>Décision</w:t>
      </w:r>
      <w:r>
        <w:rPr>
          <w:b w:val="0"/>
          <w:i w:val="0"/>
        </w:rPr>
        <w:t xml:space="preserve"> : la séance 39 retient </w:t>
      </w:r>
      <w:r>
        <w:rPr>
          <w:b/>
          <w:i w:val="0"/>
        </w:rPr>
        <w:t>uniquement le HPV</w:t>
      </w:r>
      <w:r>
        <w:rPr>
          <w:b w:val="0"/>
          <w:i w:val="0"/>
        </w:rPr>
        <w:t xml:space="preserve"> comme cause, avec les facteurs de risque réels. L'écart au PE est signalé ici en toute transparence, car il porte sur un point vérifiable auprès de n'importe quelle source médicale.</w:t>
      </w:r>
    </w:p>
    <w:p>
      <w:pPr>
        <w:spacing w:after="80"/>
      </w:pPr>
      <w:r>
        <w:rPr>
          <w:b w:val="0"/>
          <w:i/>
        </w:rPr>
        <w:t>(Le contenu du PE reste par ailleurs exact sur la fistule, où ces mêmes causes sont à leur place.)</w:t>
      </w:r>
    </w:p>
    <w:p>
      <w:pPr>
        <w:pStyle w:val="Heading3"/>
        <w:spacing w:before="200" w:after="100"/>
      </w:pPr>
      <w:r>
        <w:rPr>
          <w:b/>
          <w:i w:val="0"/>
          <w:color w:val="1E7B34"/>
          <w:sz w:val="24"/>
        </w:rPr>
        <w:t>⚠️ 3. La recommandation d'hydratation du FRP est imprécise</w:t>
      </w:r>
    </w:p>
    <w:p>
      <w:pPr>
        <w:spacing w:after="80"/>
      </w:pPr>
      <w:r>
        <w:rPr>
          <w:b w:val="0"/>
          <w:i w:val="0"/>
        </w:rPr>
        <w:t xml:space="preserve">Le FRP range, parmi les comportements préventifs de la fistule, une « réhydratation quotidienne » chiffrée à </w:t>
      </w:r>
      <w:r>
        <w:rPr>
          <w:b/>
          <w:i w:val="0"/>
        </w:rPr>
        <w:t>6 litres par jour</w:t>
      </w:r>
      <w:r>
        <w:rPr>
          <w:b w:val="0"/>
          <w:i w:val="0"/>
        </w:rPr>
        <w:t>.</w:t>
      </w:r>
    </w:p>
    <w:p>
      <w:pPr>
        <w:spacing w:after="80"/>
      </w:pPr>
      <w:r>
        <w:rPr>
          <w:b w:val="0"/>
          <w:i w:val="0"/>
        </w:rPr>
        <w:t xml:space="preserve">Six litres par jour est une quantité </w:t>
      </w:r>
      <w:r>
        <w:rPr>
          <w:b/>
          <w:i w:val="0"/>
        </w:rPr>
        <w:t>considérablement supérieure</w:t>
      </w:r>
      <w:r>
        <w:rPr>
          <w:b w:val="0"/>
          <w:i w:val="0"/>
        </w:rPr>
        <w:t xml:space="preserve"> aux apports habituellement recommandés. Une telle consommation, hors contexte médical encadré, n'est pas anodine.</w:t>
      </w:r>
    </w:p>
    <w:p>
      <w:pPr>
        <w:spacing w:after="80"/>
      </w:pPr>
      <w:r>
        <w:rPr>
          <w:b w:val="0"/>
          <w:i w:val="0"/>
        </w:rPr>
        <w:t xml:space="preserve">Cette recommandation vient vraisemblablement de protocoles de </w:t>
      </w:r>
      <w:r>
        <w:rPr>
          <w:b/>
          <w:i w:val="0"/>
        </w:rPr>
        <w:t>prise en charge</w:t>
      </w:r>
      <w:r>
        <w:rPr>
          <w:b w:val="0"/>
          <w:i w:val="0"/>
        </w:rPr>
        <w:t xml:space="preserve"> de patientes porteuses de fistule, où une hydratation abondante limite la concentration des urines et les infections. Elle n'a pas sa place dans une liste de </w:t>
      </w:r>
      <w:r>
        <w:rPr>
          <w:b/>
          <w:i w:val="0"/>
        </w:rPr>
        <w:t>comportements préventifs</w:t>
      </w:r>
      <w:r>
        <w:rPr>
          <w:b w:val="0"/>
          <w:i w:val="0"/>
        </w:rPr>
        <w:t xml:space="preserve"> destinés à la population générale.</w:t>
      </w:r>
    </w:p>
    <w:p>
      <w:pPr>
        <w:spacing w:after="80"/>
      </w:pPr>
      <w:r>
        <w:rPr>
          <w:b/>
          <w:i w:val="0"/>
        </w:rPr>
        <w:t>Décision</w:t>
      </w:r>
      <w:r>
        <w:rPr>
          <w:b w:val="0"/>
          <w:i w:val="0"/>
        </w:rPr>
        <w:t xml:space="preserve"> : la séance 37 conserve le principe — une hydratation abondante est utile </w:t>
      </w:r>
      <w:r>
        <w:rPr>
          <w:b/>
          <w:i w:val="0"/>
        </w:rPr>
        <w:t>à la femme déjà atteinte, en attendant l'opération</w:t>
      </w:r>
      <w:r>
        <w:rPr>
          <w:b w:val="0"/>
          <w:i w:val="0"/>
        </w:rPr>
        <w:t xml:space="preserve"> — sans reprendre le chiffre de 6 litres, et le présente comme une mesure de confort et de prévention des infections, non comme un moyen d'éviter la fistule.</w:t>
      </w:r>
    </w:p>
    <w:p>
      <w:pPr>
        <w:pStyle w:val="Heading3"/>
        <w:spacing w:before="200" w:after="100"/>
      </w:pPr>
      <w:r>
        <w:rPr>
          <w:b/>
          <w:i w:val="0"/>
          <w:color w:val="1E7B34"/>
          <w:sz w:val="24"/>
        </w:rPr>
        <w:t>Autres choix de traitement</w:t>
      </w:r>
    </w:p>
    <w:p>
      <w:pPr>
        <w:spacing w:after="80"/>
      </w:pPr>
      <w:r>
        <w:rPr>
          <w:b/>
          <w:i w:val="0"/>
        </w:rPr>
        <w:t>4. ⛔ Le témoignage de Sojina (RES 4.c) n'est pas repris.</w:t>
      </w:r>
      <w:r>
        <w:rPr>
          <w:b w:val="0"/>
          <w:i w:val="0"/>
        </w:rPr>
        <w:t xml:space="preserve"> Récit personnel d'une femme identifiable, publié par l'UNFPA dans un cadre précis. Il est remplacé en séance 41 par des </w:t>
      </w:r>
      <w:r>
        <w:rPr>
          <w:b/>
          <w:i w:val="0"/>
        </w:rPr>
        <w:t>situations fictives</w:t>
      </w:r>
      <w:r>
        <w:rPr>
          <w:b w:val="0"/>
          <w:i w:val="0"/>
        </w:rPr>
        <w:t xml:space="preserve"> et une grille d'évaluation.</w:t>
      </w:r>
    </w:p>
    <w:p>
      <w:pPr>
        <w:spacing w:after="80"/>
      </w:pPr>
      <w:r>
        <w:rPr>
          <w:b/>
          <w:i w:val="0"/>
        </w:rPr>
        <w:t>5. La liste de symptômes de la RES 4.b a été réorganisée.</w:t>
      </w:r>
      <w:r>
        <w:rPr>
          <w:b w:val="0"/>
          <w:i w:val="0"/>
        </w:rPr>
        <w:t xml:space="preserve"> Le FRP mélange dans une même liste des symptômes (incontinence, odeur, douleur), des conséquences (infertilité, lésions nerveuses) et des événements survenant pendant l'accouchement lui-même — la tête du fœtus retenue dans la déchirure, ou le décès de la mère ou de l'enfant. Le tout figure sous le titre « Symptômes ». Les séances 36 et 37 séparent </w:t>
      </w:r>
      <w:r>
        <w:rPr>
          <w:b/>
          <w:i w:val="0"/>
        </w:rPr>
        <w:t>mécanisme</w:t>
      </w:r>
      <w:r>
        <w:rPr>
          <w:b w:val="0"/>
          <w:i w:val="0"/>
        </w:rPr>
        <w:t xml:space="preserve">, </w:t>
      </w:r>
      <w:r>
        <w:rPr>
          <w:b/>
          <w:i w:val="0"/>
        </w:rPr>
        <w:t>symptômes</w:t>
      </w:r>
      <w:r>
        <w:rPr>
          <w:b w:val="0"/>
          <w:i w:val="0"/>
        </w:rPr>
        <w:t xml:space="preserve"> et </w:t>
      </w:r>
      <w:r>
        <w:rPr>
          <w:b/>
          <w:i w:val="0"/>
        </w:rPr>
        <w:t>conséquences</w:t>
      </w:r>
      <w:r>
        <w:rPr>
          <w:b w:val="0"/>
          <w:i w:val="0"/>
        </w:rPr>
        <w:t>, qui appartiennent à trois moments distincts.</w:t>
      </w:r>
    </w:p>
    <w:p>
      <w:pPr>
        <w:spacing w:after="80"/>
      </w:pPr>
      <w:r>
        <w:rPr>
          <w:b/>
          <w:i w:val="0"/>
        </w:rPr>
        <w:t>6. Le terme « dysfonctionnel sexuel » n'a pas été repris.</w:t>
      </w:r>
      <w:r>
        <w:rPr>
          <w:b w:val="0"/>
          <w:i w:val="0"/>
        </w:rPr>
        <w:t xml:space="preserve"> Formulation incorrecte, et notion sans portée pédagogique en T9.</w:t>
      </w:r>
    </w:p>
    <w:p>
      <w:pPr>
        <w:spacing w:after="80"/>
      </w:pPr>
      <w:r>
        <w:rPr>
          <w:b/>
          <w:i w:val="0"/>
        </w:rPr>
        <w:t>7. Ajout : la fistule se répare chirurgicalement.</w:t>
      </w:r>
      <w:r>
        <w:rPr>
          <w:b w:val="0"/>
          <w:i w:val="0"/>
        </w:rPr>
        <w:t xml:space="preserve"> Le FRP consacre une section aux conséquences et une autre à la prévention, mais </w:t>
      </w:r>
      <w:r>
        <w:rPr>
          <w:b/>
          <w:i w:val="0"/>
        </w:rPr>
        <w:t>n'indique nulle part que la fistule s'opère</w:t>
      </w:r>
      <w:r>
        <w:rPr>
          <w:b w:val="0"/>
          <w:i w:val="0"/>
        </w:rPr>
        <w:t>. C'est pourtant l'information la plus utile pour une femme déjà atteinte. Elle est présente dans les séances 36, 37 et 41.</w:t>
      </w:r>
    </w:p>
    <w:p>
      <w:pPr>
        <w:spacing w:after="80"/>
      </w:pPr>
      <w:r>
        <w:rPr>
          <w:b/>
          <w:i w:val="0"/>
        </w:rPr>
        <w:t>8. Ajout : le tabac.</w:t>
      </w:r>
      <w:r>
        <w:rPr>
          <w:b w:val="0"/>
          <w:i w:val="0"/>
        </w:rPr>
        <w:t xml:space="preserve"> Absent des facteurs de risque du FRP alors qu'il s'agit du principal facteur après le HPV. Ajouté en séance 39.</w:t>
      </w:r>
    </w:p>
    <w:p>
      <w:pPr>
        <w:spacing w:after="80"/>
      </w:pPr>
      <w:r>
        <w:rPr>
          <w:b/>
          <w:i w:val="0"/>
        </w:rPr>
        <w:t>9. Ajout : la nature fréquente et le plus souvent transitoire de l'infection à HPV.</w:t>
      </w:r>
      <w:r>
        <w:rPr>
          <w:b w:val="0"/>
          <w:i w:val="0"/>
        </w:rPr>
        <w:t xml:space="preserve"> Le FRP n'explique pas que l'organisme élimine spontanément la plupart des infections. Sans cette précision, un élève pourrait croire que toute infection conduit au cancer — source d'angoisse inutile et d'incompréhension du dépistage.</w:t>
      </w:r>
    </w:p>
    <w:p>
      <w:r>
        <w:br w:type="page"/>
      </w:r>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Fascicule de Ressources Pédagogiques SVT 3e</w:t>
      </w:r>
      <w:r>
        <w:rPr>
          <w:b w:val="0"/>
          <w:i w:val="0"/>
        </w:rPr>
        <w:t xml:space="preserve">, MEN/DDIS, thématique IV (RES 4.a à 4.d) — </w:t>
      </w:r>
      <w:r>
        <w:rPr>
          <w:b w:val="0"/>
          <w:i/>
        </w:rPr>
        <w:t>sous les réserves détaillées ci-dessus</w:t>
      </w:r>
      <w:r>
        <w:rPr>
          <w:b w:val="0"/>
          <w:i w:val="0"/>
        </w:rPr>
        <w:t>.</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Écarts assumés par rapport au FRP — Géologie</w:t>
      </w:r>
    </w:p>
    <w:p>
      <w:pPr>
        <w:spacing w:after="80"/>
      </w:pPr>
      <w:r>
        <w:rPr>
          <w:b/>
          <w:i w:val="0"/>
        </w:rPr>
        <w:t>1. ⛔ La lithothérapie a été retirée des usages thérapeutiques (séance 47).</w:t>
      </w:r>
      <w:r>
        <w:rPr>
          <w:b w:val="0"/>
          <w:i w:val="0"/>
        </w:rPr>
        <w:t xml:space="preserve"> La ressource RES 5.d présente la lithothérapie comme un usage légitime, au même rang que la joaillerie et l'industrie, en prêtant aux pierres des « vibrations » bénéfiques et au diamant un effet apaisant sur le stress. </w:t>
      </w:r>
      <w:r>
        <w:rPr>
          <w:b/>
          <w:i w:val="0"/>
        </w:rPr>
        <w:t>C'est une pseudo-science</w:t>
      </w:r>
      <w:r>
        <w:rPr>
          <w:b w:val="0"/>
          <w:i w:val="0"/>
        </w:rPr>
        <w:t xml:space="preserve"> : aucune étude contrôlée n'a mis en évidence d'effet supérieur à un placebo, et les minéralogistes sont unanimes. Enseigner cela comme un fait dans un cours de sciences contreviendrait à la règle critique 13 du skill v18 (fiabilité du contenu). Le risque est concret : des cas de </w:t>
      </w:r>
      <w:r>
        <w:rPr>
          <w:b/>
          <w:i w:val="0"/>
        </w:rPr>
        <w:t>refus ou de retard de soins</w:t>
      </w:r>
      <w:r>
        <w:rPr>
          <w:b w:val="0"/>
          <w:i w:val="0"/>
        </w:rPr>
        <w:t xml:space="preserve"> au profit des pierres sont documentés. La séance 47 traite donc la joaillerie et l'industrie comme usages réels, et consacre à la lithothérapie un encadré de </w:t>
      </w:r>
      <w:r>
        <w:rPr>
          <w:b/>
          <w:i w:val="0"/>
        </w:rPr>
        <w:t>mise en garde scientifique</w:t>
      </w:r>
      <w:r>
        <w:rPr>
          <w:b w:val="0"/>
          <w:i w:val="0"/>
        </w:rPr>
        <w:t xml:space="preserve"> qui la présente comme un fait social et commercial, jamais comme un usage thérapeutique.</w:t>
      </w:r>
    </w:p>
    <w:p>
      <w:pPr>
        <w:spacing w:after="80"/>
      </w:pPr>
      <w:r>
        <w:rPr>
          <w:b/>
          <w:i w:val="0"/>
        </w:rPr>
        <w:t>2. La phrase sans sujet de la RES 5.b a été remplacée.</w:t>
      </w:r>
      <w:r>
        <w:rPr>
          <w:b w:val="0"/>
          <w:i w:val="0"/>
        </w:rPr>
        <w:t xml:space="preserve"> Le FRP énonce d'abord, à juste titre, que la rareté seule ne suffit pas à rendre une pierre précieuse. Mais la phrase qui suit commence par « Plus rare que le diamant » et enchaîne sur un pronom sans antécédent : </w:t>
      </w:r>
      <w:r>
        <w:rPr>
          <w:b/>
          <w:i w:val="0"/>
        </w:rPr>
        <w:t>aucun nom de pierre n'est jamais donné</w:t>
      </w:r>
      <w:r>
        <w:rPr>
          <w:b w:val="0"/>
          <w:i w:val="0"/>
        </w:rPr>
        <w:t xml:space="preserve">. Le lecteur ignore de quoi on lui parle. L'idée est juste et a été conservée, mais reformulée avec des </w:t>
      </w:r>
      <w:r>
        <w:rPr>
          <w:b/>
          <w:i w:val="0"/>
        </w:rPr>
        <w:t>exemples explicites</w:t>
      </w:r>
      <w:r>
        <w:rPr>
          <w:b w:val="0"/>
          <w:i w:val="0"/>
        </w:rPr>
        <w:t xml:space="preserve"> : la painite et la rhodizite, cette dernière présente à Madagascar.</w:t>
      </w:r>
    </w:p>
    <w:p>
      <w:pPr>
        <w:spacing w:after="80"/>
      </w:pPr>
      <w:r>
        <w:rPr>
          <w:b/>
          <w:i w:val="0"/>
        </w:rPr>
        <w:t>3. La RES 5.b, traduite de façon défectueuse, n'a pas servi de base à la séance 45.</w:t>
      </w:r>
      <w:r>
        <w:rPr>
          <w:b w:val="0"/>
          <w:i w:val="0"/>
        </w:rPr>
        <w:t xml:space="preserve"> Cette ressource présente les propriétés des gemmes dans une langue visiblement traduite automatiquement, avec des tournures incompréhensibles — une phrase affirme qu'il faudrait « inclure un produit chimique » pour qu'une pierre soit belle, une autre évoque son attrait auprès d'une « liste » d'acheteurs, et le genre des pronoms change en cours de phrase — et un point de vue de </w:t>
      </w:r>
      <w:r>
        <w:rPr>
          <w:b/>
          <w:i w:val="0"/>
        </w:rPr>
        <w:t>vendeur</w:t>
      </w:r>
      <w:r>
        <w:rPr>
          <w:b w:val="0"/>
          <w:i w:val="0"/>
        </w:rPr>
        <w:t xml:space="preserve"> plutôt que de géologue. Surtout, </w:t>
      </w:r>
      <w:r>
        <w:rPr>
          <w:b/>
          <w:i w:val="0"/>
        </w:rPr>
        <w:t>elle ne mentionne ni l'échelle de Mohs, ni la cassure, ni le clivage</w:t>
      </w:r>
      <w:r>
        <w:rPr>
          <w:b w:val="0"/>
          <w:i w:val="0"/>
        </w:rPr>
        <w:t>, alors que le PE les exige explicitement. La séance 45 a donc été construite à partir de l'échelle de Mohs et de la distinction dureté/ténacité, sources externes à l'appui.</w:t>
      </w:r>
    </w:p>
    <w:p>
      <w:pPr>
        <w:spacing w:after="80"/>
      </w:pPr>
      <w:r>
        <w:rPr>
          <w:b/>
          <w:i w:val="0"/>
        </w:rPr>
        <w:t>4. La RES 5.c ne contient aucun texte exploitable.</w:t>
      </w:r>
      <w:r>
        <w:rPr>
          <w:b w:val="0"/>
          <w:i w:val="0"/>
        </w:rPr>
        <w:t xml:space="preserve"> Elle se réduit à deux cartes — des images, donc inutilisables — accompagnées d'un guide d'exploitation. La liste des localités de la séance 46 provient du </w:t>
      </w:r>
      <w:r>
        <w:rPr>
          <w:b/>
          <w:i w:val="0"/>
        </w:rPr>
        <w:t>PE lui-même</w:t>
      </w:r>
      <w:r>
        <w:rPr>
          <w:b w:val="0"/>
          <w:i w:val="0"/>
        </w:rPr>
        <w:t>, qui la fournit en toutes lettres, complétée par les travaux publiés sur les gisements malgaches.</w:t>
      </w:r>
    </w:p>
    <w:p>
      <w:pPr>
        <w:spacing w:after="80"/>
      </w:pPr>
      <w:r>
        <w:rPr>
          <w:b/>
          <w:i w:val="0"/>
        </w:rPr>
        <w:t>5. ⚠️ Une réserve signalée sur le diamant.</w:t>
      </w:r>
      <w:r>
        <w:rPr>
          <w:b w:val="0"/>
          <w:i w:val="0"/>
        </w:rPr>
        <w:t xml:space="preserve"> Le PE cite « Diamant (Nosy Varika, Mandritsara) » parmi les exemples de localités. Or </w:t>
      </w:r>
      <w:r>
        <w:rPr>
          <w:b/>
          <w:i w:val="0"/>
        </w:rPr>
        <w:t>Madagascar n'est pas un producteur reconnu de diamant gemme</w:t>
      </w:r>
      <w:r>
        <w:rPr>
          <w:b w:val="0"/>
          <w:i w:val="0"/>
        </w:rPr>
        <w:t xml:space="preserve"> : la littérature géologique fait état d'indices, non de gisements exploités, et les inventaires internationaux ne recensent pas le pays parmi les producteurs. La séance 46 </w:t>
      </w:r>
      <w:r>
        <w:rPr>
          <w:b/>
          <w:i w:val="0"/>
        </w:rPr>
        <w:t>n'attribue donc aucune localité de diamant à Madagascar</w:t>
      </w:r>
      <w:r>
        <w:rPr>
          <w:b w:val="0"/>
          <w:i w:val="0"/>
        </w:rPr>
        <w:t>, tout en conservant le diamant dans les quatre pierres précieuses de la séance 44. Ce choix est signalé ici pour que l'enseignant en soit averti : il s'écarte sciemment d'un exemple du PE, sur un point vérifiable.</w:t>
      </w:r>
    </w:p>
    <w:p>
      <w:pPr>
        <w:spacing w:after="80"/>
      </w:pPr>
      <w:r>
        <w:rPr>
          <w:b/>
          <w:i w:val="0"/>
        </w:rPr>
        <w:t>Ajouts hors FRP</w:t>
      </w:r>
      <w:r>
        <w:rPr>
          <w:b w:val="0"/>
          <w:i w:val="0"/>
        </w:rPr>
        <w:t xml:space="preserve"> : consignes de sécurité pour les manipulations de la séance 45 (le PE prévoit lunettes, gants, marteau et couteau, sans qu'aucune source n'accompagne ces outils de précautions) ; distinction </w:t>
      </w:r>
      <w:r>
        <w:rPr>
          <w:b/>
          <w:i w:val="0"/>
        </w:rPr>
        <w:t>dureté / ténacité</w:t>
      </w:r>
      <w:r>
        <w:rPr>
          <w:b w:val="0"/>
          <w:i w:val="0"/>
        </w:rPr>
        <w:t xml:space="preserve"> ; caractère </w:t>
      </w:r>
      <w:r>
        <w:rPr>
          <w:b/>
          <w:i w:val="0"/>
        </w:rPr>
        <w:t>synthétique</w:t>
      </w:r>
      <w:r>
        <w:rPr>
          <w:b w:val="0"/>
          <w:i w:val="0"/>
        </w:rPr>
        <w:t xml:space="preserve"> des corindons industriels ; mention du </w:t>
      </w:r>
      <w:r>
        <w:rPr>
          <w:b/>
          <w:i w:val="0"/>
        </w:rPr>
        <w:t>travail des enfants</w:t>
      </w:r>
      <w:r>
        <w:rPr>
          <w:b w:val="0"/>
          <w:i w:val="0"/>
        </w:rPr>
        <w:t xml:space="preserve"> et de la question de la répartition de la valeur, qui donnent leur contenu concret aux valeurs </w:t>
      </w:r>
      <w:r>
        <w:rPr>
          <w:b w:val="0"/>
          <w:i/>
        </w:rPr>
        <w:t>responsabilité</w:t>
      </w:r>
      <w:r>
        <w:rPr>
          <w:b w:val="0"/>
          <w:i w:val="0"/>
        </w:rPr>
        <w:t xml:space="preserve"> et </w:t>
      </w:r>
      <w:r>
        <w:rPr>
          <w:b w:val="0"/>
          <w:i/>
        </w:rPr>
        <w:t>sens du bien commun</w:t>
      </w:r>
      <w:r>
        <w:rPr>
          <w:b w:val="0"/>
          <w:i w:val="0"/>
        </w:rPr>
        <w:t>.</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Fascicule de Ressources Pédagogiques SVT 3e</w:t>
      </w:r>
      <w:r>
        <w:rPr>
          <w:b w:val="0"/>
          <w:i w:val="0"/>
        </w:rPr>
        <w:t>, MEN/DDIS, thématique V (RES 5.a à 5.f).</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Écarts assumés par rapport au manuel d'origine — Révisions et examens</w:t>
      </w:r>
    </w:p>
    <w:p>
      <w:pPr>
        <w:spacing w:after="80"/>
      </w:pPr>
      <w:r>
        <w:rPr>
          <w:b w:val="0"/>
          <w:i w:val="0"/>
        </w:rPr>
        <w:t xml:space="preserve">Ce lot </w:t>
      </w:r>
      <w:r>
        <w:rPr>
          <w:b/>
          <w:i w:val="0"/>
        </w:rPr>
        <w:t>remplace intégralement</w:t>
      </w:r>
      <w:r>
        <w:rPr>
          <w:b w:val="0"/>
          <w:i w:val="0"/>
        </w:rPr>
        <w:t xml:space="preserve"> le contenu des dix séances concernées. Les écarts sont donc structurels.</w:t>
      </w:r>
    </w:p>
    <w:p>
      <w:pPr>
        <w:spacing w:after="40"/>
        <w:ind w:left="425"/>
      </w:pPr>
      <w:r>
        <w:rPr>
          <w:b w:val="0"/>
          <w:i w:val="0"/>
        </w:rPr>
        <w:t xml:space="preserve">1. </w:t>
      </w:r>
      <w:r>
        <w:rPr>
          <w:b/>
          <w:i w:val="0"/>
        </w:rPr>
        <w:t>Les cinq séances de révision ne sont plus identiques.</w:t>
      </w:r>
      <w:r>
        <w:rPr>
          <w:b w:val="0"/>
          <w:i w:val="0"/>
        </w:rPr>
        <w:t xml:space="preserve"> Chacune porte sur les contenus de son unité, avec un sujet, des chiffres et des erreurs typiques qui lui sont propres. Le tableau générique à trois lignes et les trois questions passe-partout sont supprimés.</w:t>
      </w:r>
    </w:p>
    <w:p>
      <w:pPr>
        <w:spacing w:after="40"/>
        <w:ind w:left="425"/>
      </w:pPr>
      <w:r>
        <w:rPr>
          <w:b w:val="0"/>
          <w:i w:val="0"/>
        </w:rPr>
        <w:t xml:space="preserve">2. </w:t>
      </w:r>
      <w:r>
        <w:rPr>
          <w:b/>
          <w:i w:val="0"/>
        </w:rPr>
        <w:t>La méta-instruction en guise de corrigé est supprimée.</w:t>
      </w:r>
      <w:r>
        <w:rPr>
          <w:b w:val="0"/>
          <w:i w:val="0"/>
        </w:rPr>
        <w:t xml:space="preserve"> </w:t>
      </w:r>
      <w:r>
        <w:rPr>
          <w:b w:val="0"/>
          <w:i/>
        </w:rPr>
        <w:t>« La réponse doit reprendre les connaissances de l'unité »</w:t>
      </w:r>
      <w:r>
        <w:rPr>
          <w:b w:val="0"/>
          <w:i w:val="0"/>
        </w:rPr>
        <w:t xml:space="preserve"> n'est pas une réponse d'élève mais une consigne au correcteur. Tous les corrigés de ce lot donnent la </w:t>
      </w:r>
      <w:r>
        <w:rPr>
          <w:b/>
          <w:i w:val="0"/>
        </w:rPr>
        <w:t>réponse attendue rédigée</w:t>
      </w:r>
      <w:r>
        <w:rPr>
          <w:b w:val="0"/>
          <w:i w:val="0"/>
        </w:rPr>
        <w:t>.</w:t>
      </w:r>
    </w:p>
    <w:p>
      <w:pPr>
        <w:spacing w:after="40"/>
        <w:ind w:left="425"/>
      </w:pPr>
      <w:r>
        <w:rPr>
          <w:b w:val="0"/>
          <w:i w:val="0"/>
        </w:rPr>
        <w:t xml:space="preserve">3. </w:t>
      </w:r>
      <w:r>
        <w:rPr>
          <w:b/>
          <w:i w:val="0"/>
        </w:rPr>
        <w:t>Les sujets d'examen portent désormais sur la SVT.</w:t>
      </w:r>
      <w:r>
        <w:rPr>
          <w:b w:val="0"/>
          <w:i w:val="0"/>
        </w:rPr>
        <w:t xml:space="preserve"> Les QCM génériques sur la méthode scientifique — sans lien avec le programme — sont remplacés par des questions adossées à des séances précises, dont le numéro est indiqué en fin de chaque corrigé.</w:t>
      </w:r>
    </w:p>
    <w:p>
      <w:pPr>
        <w:spacing w:after="40"/>
        <w:ind w:left="425"/>
      </w:pPr>
      <w:r>
        <w:rPr>
          <w:b w:val="0"/>
          <w:i w:val="0"/>
        </w:rPr>
        <w:t xml:space="preserve">4. </w:t>
      </w:r>
      <w:r>
        <w:rPr>
          <w:b/>
          <w:i w:val="0"/>
        </w:rPr>
        <w:t>Les types d'exercices sont diversifiés.</w:t>
      </w:r>
      <w:r>
        <w:rPr>
          <w:b w:val="0"/>
          <w:i w:val="0"/>
        </w:rPr>
        <w:t xml:space="preserve"> L'audit relevait deux consignes stéréotypées répétées 41 fois. Ce lot emploie l'appariement, la complétion, le vrai/faux justifié, la remise en ordre, le </w:t>
      </w:r>
      <w:r>
        <w:rPr>
          <w:b/>
          <w:i w:val="0"/>
        </w:rPr>
        <w:t>schéma à légender</w:t>
      </w:r>
      <w:r>
        <w:rPr>
          <w:b w:val="0"/>
          <w:i w:val="0"/>
        </w:rPr>
        <w:t xml:space="preserve"> (séances 24 et 35) et l'avis argumenté — y compris les types que le manuel annonçait dans ses légendes sans jamais les employer.</w:t>
      </w:r>
    </w:p>
    <w:p>
      <w:pPr>
        <w:spacing w:after="40"/>
        <w:ind w:left="425"/>
      </w:pPr>
      <w:r>
        <w:rPr>
          <w:b w:val="0"/>
          <w:i w:val="0"/>
        </w:rPr>
        <w:t xml:space="preserve">5. </w:t>
      </w:r>
      <w:r>
        <w:rPr>
          <w:b/>
          <w:i w:val="0"/>
        </w:rPr>
        <w:t>Une distinction nette est introduite entre entraînement et examen.</w:t>
      </w:r>
      <w:r>
        <w:rPr>
          <w:b w:val="0"/>
          <w:i w:val="0"/>
        </w:rPr>
        <w:t xml:space="preserve"> Le manuel d'origine traitait les deux de façon identique. Ici, la séance de révision comporte des </w:t>
      </w:r>
      <w:r>
        <w:rPr>
          <w:b/>
          <w:i w:val="0"/>
        </w:rPr>
        <w:t>erreurs fréquentes nommées</w:t>
      </w:r>
      <w:r>
        <w:rPr>
          <w:b w:val="0"/>
          <w:i w:val="0"/>
        </w:rPr>
        <w:t xml:space="preserve">, et la séance d'examen un </w:t>
      </w:r>
      <w:r>
        <w:rPr>
          <w:b/>
          <w:i w:val="0"/>
        </w:rPr>
        <w:t>barème détaillé avec consignes au correcteur</w:t>
      </w:r>
      <w:r>
        <w:rPr>
          <w:b w:val="0"/>
          <w:i w:val="0"/>
        </w:rPr>
        <w:t>.</w:t>
      </w:r>
    </w:p>
    <w:p>
      <w:pPr>
        <w:spacing w:after="40"/>
        <w:ind w:left="425"/>
      </w:pPr>
      <w:r>
        <w:rPr>
          <w:b w:val="0"/>
          <w:i w:val="0"/>
        </w:rPr>
        <w:t xml:space="preserve">6. </w:t>
      </w:r>
      <w:r>
        <w:rPr>
          <w:b/>
          <w:i w:val="0"/>
        </w:rPr>
        <w:t>Question 3 de l'exercice 3 de la séance 35 — association et causalité.</w:t>
      </w:r>
      <w:r>
        <w:rPr>
          <w:b w:val="0"/>
          <w:i w:val="0"/>
        </w:rPr>
        <w:t xml:space="preserve"> Cette question dépasse la lettre du programme, qui n'exige pas la distinction. Elle est maintenue parce que l'unité III traite des substances psychoactives, domaine où la confusion entre corrélation et cause alimente les idées fausses. Le barème la signale comme discriminante.</w:t>
      </w:r>
    </w:p>
    <w:p>
      <w:pPr>
        <w:spacing w:after="40"/>
        <w:ind w:left="425"/>
      </w:pPr>
      <w:r>
        <w:rPr>
          <w:b w:val="0"/>
          <w:i w:val="0"/>
        </w:rPr>
        <w:t xml:space="preserve">7. </w:t>
      </w:r>
      <w:r>
        <w:rPr>
          <w:b/>
          <w:i w:val="0"/>
        </w:rPr>
        <w:t>Aucune notion nouvelle n'est introduite.</w:t>
      </w:r>
      <w:r>
        <w:rPr>
          <w:b w:val="0"/>
          <w:i w:val="0"/>
        </w:rPr>
        <w:t xml:space="preserve"> Toutes les données des exercices sont </w:t>
      </w:r>
      <w:r>
        <w:rPr>
          <w:b/>
          <w:i w:val="0"/>
        </w:rPr>
        <w:t>fictives mais vraisemblables</w:t>
      </w:r>
      <w:r>
        <w:rPr>
          <w:b w:val="0"/>
          <w:i w:val="0"/>
        </w:rPr>
        <w:t>, construites pour ce lot. Elles ne proviennent ni du FRP ni d'aucune source externe, et leurs ordres de grandeur sont cohérents avec les faits établis dans les séances 1 à 49.</w:t>
      </w:r>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 Fascicule de Ressources Pédagogiques du MEN/DDIS.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pStyle w:val="ListBullet"/>
        <w:spacing w:after="40"/>
      </w:pPr>
      <w:r>
        <w:rPr>
          <w:b w:val="0"/>
          <w:i/>
        </w:rPr>
        <w:t>Fascicule de Ressources Pédagogiques SVT 3e</w:t>
      </w:r>
      <w:r>
        <w:rPr>
          <w:b w:val="0"/>
          <w:i w:val="0"/>
        </w:rPr>
        <w:t>, MEN/DDIS — consulté pour vérification de non-recouvrement uniquement ; aucun contenu repris.</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