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1"/>
      <w:r>
        <w:rPr>
          <w:rFonts w:ascii="Times New Roman" w:cs="Times New Roman" w:eastAsia="Times New Roman" w:hAnsi="Times New Roman"/>
          <w:b/>
          <w:bCs/>
          <w:i w:val="false"/>
          <w:iCs w:val="false"/>
          <w:color w:val="C00000"/>
          <w:sz w:val="56"/>
          <w:szCs w:val="56"/>
        </w:rPr>
        <w:t xml:space="preserve">TRAITEMENT DE DONNÉES</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Concevoir une enquête : questions et hypothèses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Collecter et organiser : tableaux simples et chronologiques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Diagrammes en barres et pictogrammes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Interpréter des données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Expériences aléatoires et tableaux de dénombrement</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La probabilité expérimentale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VI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CONCEVOIR UNE ENQUÊTE : QUESTIONS ET HYPOTHÈSES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Questions d’enquête et hypothèses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deviner, on demande ; et avant de demander, on écrit son pari — l’enquête dira s’il était bon.</w:t>
      </w:r>
    </w:p>
    <w:p>
      <w:pPr>
        <w:spacing w:after="120" w:before="120"/>
        <w:jc w:val="center"/>
      </w:pPr>
      <w:r>
        <w:drawing>
          <wp:inline distT="0" distB="0" distL="0" distR="0">
            <wp:extent cx="4762500" cy="1590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590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Question : « quel jour y a-t-il le plus d’absents ? » ; hypothèse : « le lundi » ; collecte : le registre d’appel de la semaine.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Formuler une question précise, sur un groupe défini, aux réponses comptables.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l’hypothèse : la réponse que l’on prévoit.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Préparer la collecte : qui interroger, quelles réponses possibles, comment noter.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enquête = question précise + hypothèse + collecte + réponse ; la question définit le groupe interrogé et des réponses comptables ; l’hypothèse est le pari à vérifier.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plus grande enquête de Madagascar est le recensement général de la population : en 2018, des milliers d’agents ont visité une à une toutes les maisons du pays pour compter plus de 25 millions d’habitants.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Poser une question vague : « le sport, c’est important ? ». Chacun comprend autre chose, les réponses ne se comptent pas, l’enquête ne conclut rien. La question doit appeler des réponses précises et dénombrables.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COLLECTER ET ORGANISER : TABLEAUX SIMPLES ET CHRONOLOGIQUES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Collecte et tableaux des effectifs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val="false"/>
          <w:bCs w:val="false"/>
          <w:i/>
          <w:iCs/>
          <w:color w:val="1F4E79"/>
          <w:sz w:val="24"/>
          <w:szCs w:val="24"/>
        </w:rPr>
        <w:t xml:space="preserve">chaque réponse devient un bâton dans la bonne ligne ; à la fin, on compte les bâtons de chaque ligne : c’est l’effectif.</w:t>
      </w:r>
    </w:p>
    <w:p>
      <w:pPr>
        <w:spacing w:after="120" w:before="120"/>
        <w:jc w:val="center"/>
      </w:pPr>
      <w:r>
        <w:drawing>
          <wp:inline distT="0" distB="0" distL="0" distR="0">
            <wp:extent cx="4762500" cy="2543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543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15 réponses collectées, effectifs 6, 6 et 3 : contrôle 6 + 6 + 3 = 15 ✓ — aucune réponse perdue.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le tableau : une ligne par réponse possible (ou par période).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donnée, marquer un bâton dans la bonne ligne, par paquets de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en chiffres et vérifier : leur somme = le nombre de données.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bâton par réponse, paquets de 5 ; effectif = compte d’une ligne ; somme des effectifs = nombre d’interrogés ; tableau chronologique = données dans l’ordre du temps.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plus vieil objet mathématique du monde est un os à bâtons : l’os d’Ishango, trouvé en Afrique près du lac Édouard, porte des entailles groupées vieilles d’environ 20 000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Noter toutes les réponses en vrac et compter à la fin : on relit dix fois, on se trompe, on perd des réponses. Le bâton se marque AU MOMENT où la réponse arrive — jamais après.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DIAGRAMMES EN BARRES ET PICTOGRAMMES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Représentations : barres et pictogrammes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val="false"/>
          <w:bCs w:val="false"/>
          <w:i/>
          <w:iCs/>
          <w:color w:val="1F4E79"/>
          <w:sz w:val="24"/>
          <w:szCs w:val="24"/>
        </w:rPr>
        <w:t xml:space="preserve">le diagramme en barres, c’est le tableau debout : plus l’effectif est grand, plus sa barre monte ; le pictogramme raconte la même chose avec des petits dessins.</w:t>
      </w:r>
    </w:p>
    <w:p>
      <w:pPr>
        <w:spacing w:after="120" w:before="120"/>
        <w:jc w:val="center"/>
      </w:pPr>
      <w:r>
        <w:drawing>
          <wp:inline distT="0" distB="0" distL="0" distR="0">
            <wp:extent cx="4762500" cy="23241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241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Effectif 14 avec la légende « 1 symbole = 4 » : 14 ÷ 4 = 3 reste 2, donc 3 symboles et un demi-symbole.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l’échelle : 1 carreau (ou 1 symbole) = combien d’unités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une barre (ou une rangée de symboles) par réponse, à la bonne hauteur.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Étiqueter : noms, effectifs, et la légende du pictogramme.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barres : même largeur, échelle régulière partant de zéro, hauteur proportionnelle à l’effectif ; pictogramme : symboles identiques + légende obligatoire ; demi-symbole permis.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diagramme en barres a un inventeur : l’Écossais William Playfair, en 1786.</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Dessiner des barres de largeurs différentes : la barre large paraît plus importante même si elle est moins haute, et le lecteur est trompé. La largeur ne change JAMAIS ; seule la hauteur parle.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INTERPRÉTER DES DONNÉES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Lecture et interprétation de données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et le diagramme sont des témoins : interpréter, c’est les interroger — qui est premier ? de combien ? et alors, que décide-t-on ?</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Ventes : lundi 12, mardi 9, mercredi 15 → le meilleur jour est mercredi ; écart avec mardi : 15 − 9 = 6 ; total 36.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les valeurs demandées directement sur le tableau ou les barres.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 plus grand, plus petit, écarts, et calculer le total.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répondre à la question d’enquête et juger l’hypothèse — après avoir vérifié que le diagramme est honnête.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quatre gestes : lire une valeur, comparer (écarts), totaliser, conclure sur l’hypothèse ; et l’œil critique vérifie axe, largeurs, légende avant de croire l’image.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 voir » et « conclure » : annoncer « la banane a perdu » sans citer les nombres. Une interprétation s’appuie toujours sur des valeurs lues et des calculs — sinon ce n’est qu’une opinion de plus.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EXPÉRIENCES ALÉATOIRES ET TABLEAUX DE DÉNOMBREMENT</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Expériences aléatoires : dés, pièces, jetons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val="false"/>
          <w:bCs w:val="false"/>
          <w:i/>
          <w:iCs/>
          <w:color w:val="1F4E79"/>
          <w:sz w:val="24"/>
          <w:szCs w:val="24"/>
        </w:rPr>
        <w:t xml:space="preserve">on ne sait jamais CE QUI va sortir, mais on sait tout ce qui PEUT sortir — et on compte fidèlement ce qui EST sorti.</w:t>
      </w:r>
    </w:p>
    <w:p>
      <w:pPr>
        <w:spacing w:after="120" w:before="120"/>
        <w:jc w:val="center"/>
      </w:pPr>
      <w:r>
        <w:drawing>
          <wp:inline distT="0" distB="0" distL="0" distR="0">
            <wp:extent cx="4762500" cy="18192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Pièce lancée 20 fois : pile IIII IIII I (11), face IIII IIII (9) ; contrôle 11 + 9 = 20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Lister tous les résultats possibles : une ligne de tableau chacun.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Réaliser les essais et marquer un bâton par résultat, au fur et à mesure.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les effectifs et contrôler : leur somme = le nombre d’essais.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aléatoire = résultat imprévisible, possibles connus ; dé (6), pièce (2), jetons (couleurs) ; tableau de dénombrement + contrôle : somme des effectifs = nombre d’essais.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dés sont parmi les plus vieux jouets de l’humanité : on en a retrouvé en Mésopotamie et en Égypte vieux de 5 000 ans, souvent taillés dans des osselets de zébu ou de mouton — l’astragale.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le hasard a de la mémoire : « le 6 n’est pas sorti depuis longtemps, il va forcément sortir ». Faux ! Le dé ne se souvient de rien : chaque lancer repart de zéro.</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LA PROBABILITÉ EXPÉRIMENTALE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Fréquences et probabilité expérimentale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val="false"/>
          <w:bCs w:val="false"/>
          <w:i/>
          <w:iCs/>
          <w:color w:val="1F4E79"/>
          <w:sz w:val="24"/>
          <w:szCs w:val="24"/>
        </w:rPr>
        <w:t xml:space="preserve">la fréquence répond à « quelle part des essais a donné ce résultat ? » — et cette part, mesurée longtemps, devient la meilleure prédiction du futur.</w:t>
      </w:r>
    </w:p>
    <w:p>
      <w:pPr>
        <w:spacing w:after="120" w:before="120"/>
        <w:jc w:val="center"/>
      </w:pPr>
      <w:r>
        <w:drawing>
          <wp:inline distT="0" distB="0" distL="0" distR="0">
            <wp:extent cx="476250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76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5</m:t>
            </m:r>
          </m:den>
        </m:f>
      </m:oMath>
      <w:r>
        <w:rPr>
          <w:rFonts w:ascii="Times New Roman" w:cs="Times New Roman" w:eastAsia="Times New Roman" w:hAnsi="Times New Roman"/>
          <w:b w:val="false"/>
          <w:bCs w:val="false"/>
          <w:i/>
          <w:iCs/>
          <w:color w:val="000000"/>
          <w:sz w:val="24"/>
          <w:szCs w:val="24"/>
          <w:u w:val="single"/>
        </w:rPr>
        <w:t xml:space="preserve">— environ un lancer sur cinq.</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Compter l’effectif de chaque résultat dans le tableau de dénombrement.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Diviser chaque effectif par le nombre total d’essais : c’est la fréquence (à simplifier).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Utiliser les fréquences pour comparer les résultats et estimer ce qui est caché — en se rappelant que plus d’essais rendent l’estimation plus sûre.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fréquence = effectif ÷ total des essais ; les fréquences se comparent et estiment le contenu caché ; somme des fréquences = le tout ; plus d’essais = estimation plus sûre.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1F4E79"/>
          <w:sz w:val="24"/>
          <w:szCs w:val="24"/>
        </w:rPr>
        <w:t xml:space="preserve">— très proche d’une moitié.</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l’effectif pour la fréquence : « rouge : 12 » ne dit rien tout seul — 12 sur 20, c’est énorme ; 12 sur 2 000, c’est minuscule. La fréquence compare TOUJOURS l’effectif au total des essais.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d770e10091c0dcc14c2e941a4c611d5b1bcee60.png"/><Relationship Id="rId10" Type="http://schemas.openxmlformats.org/officeDocument/2006/relationships/image" Target="media/051bbfdc9bcef92d1a286e90a79a758a51c83fe7.png"/><Relationship Id="rId11" Type="http://schemas.openxmlformats.org/officeDocument/2006/relationships/image" Target="media/b49bafef997a510a61e4ee0754e751483eec9634.png"/><Relationship Id="rId12" Type="http://schemas.openxmlformats.org/officeDocument/2006/relationships/image" Target="media/c65b7014ee1e9e433f81c4dbf99c19fe37008822.png"/><Relationship Id="rId13" Type="http://schemas.openxmlformats.org/officeDocument/2006/relationships/image" Target="media/ad26e0f12fbb8f9a0d52bce8eba21845bcd8c6c1.png"/><Relationship Id="rId14" Type="http://schemas.openxmlformats.org/officeDocument/2006/relationships/image" Target="media/cbe2598ea6fe73c0c4a75c566b032dbd29dbf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2026-10-30T12:30:06.185Z</dcterms:created>
  <dcterms:modified xsi:type="dcterms:W3CDTF">2026-10-30T12:30:06.185Z</dcterms:modified>
</cp:coreProperties>
</file>

<file path=docProps/custom.xml><?xml version="1.0" encoding="utf-8"?>
<Properties xmlns="http://schemas.openxmlformats.org/officeDocument/2006/custom-properties" xmlns:vt="http://schemas.openxmlformats.org/officeDocument/2006/docPropsVTypes"/>
</file>