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70" w:before="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8B70"/>
          <w:sz w:val="20"/>
          <w:szCs w:val="20"/>
        </w:rPr>
        <w:t xml:space="preserve">COLLECTION J-LEARN</w:t>
      </w:r>
    </w:p>
    <w:p>
      <w:pPr>
        <w:keepNext w:val="false"/>
        <w:spacing w:after="30" w:before="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38"/>
          <w:szCs w:val="38"/>
        </w:rPr>
        <w:t xml:space="preserve">MALAGASY — T1</w:t>
      </w:r>
    </w:p>
    <w:p>
      <w:pPr>
        <w:keepNext w:val="false"/>
        <w:spacing w:after="70" w:before="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6E9B"/>
          <w:sz w:val="27"/>
          <w:szCs w:val="27"/>
        </w:rPr>
        <w:t xml:space="preserve">ARCHITECTURE VISUELLE DES SUPPORTS</w:t>
      </w:r>
    </w:p>
    <w:p>
      <w:pPr>
        <w:keepNext w:val="false"/>
        <w:spacing w:after="220" w:before="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27069"/>
          <w:sz w:val="22"/>
          <w:szCs w:val="22"/>
        </w:rPr>
        <w:t xml:space="preserve">Fiasan’ny teny sy Asa an-tsoratra</w:t>
      </w:r>
    </w:p>
    <w:tbl>
      <w:tblPr>
        <w:tblW w:type="dxa" w:w="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</w:tblGrid>
      <w:tr>
        <w:tc>
          <w:tcPr>
            <w:tcW w:type="dxa" w:w="3600"/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5A13"/>
                <w:sz w:val="17"/>
                <w:szCs w:val="17"/>
              </w:rPr>
              <w:t xml:space="preserve">DOCUMENT DE CONCEPTION • 5 OCTOBRE 2026</w:t>
            </w:r>
          </w:p>
        </w:tc>
      </w:tr>
    </w:tbl>
    <w:p>
      <w:pPr>
        <w:keepNext w:val="false"/>
        <w:spacing w:after="17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1"/>
          <w:szCs w:val="21"/>
        </w:rPr>
        <w:t xml:space="preserv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173B35" w:val="clear"/>
            <w:tcMar>
              <w:top w:type="dxa" w:w="210"/>
              <w:left w:type="dxa" w:w="300"/>
              <w:bottom w:type="dxa" w:w="210"/>
              <w:right w:type="dxa" w:w="300"/>
            </w:tcMar>
          </w:tcPr>
          <w:p>
            <w:pPr>
              <w:keepNext w:val="false"/>
              <w:spacing w:after="7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✓  OPTION C — HYBRIDE RENFORCÉ</w:t>
            </w:r>
          </w:p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8E7E2"/>
                <w:sz w:val="19"/>
                <w:szCs w:val="19"/>
              </w:rPr>
              <w:t xml:space="preserve">Architecture retenue et validée pour la suite de la conception</w:t>
            </w:r>
          </w:p>
        </w:tc>
      </w:tr>
    </w:tbl>
    <w:p>
      <w:pPr>
        <w:keepNext w:val="false"/>
        <w:spacing w:after="17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1"/>
          <w:szCs w:val="21"/>
        </w:rPr>
        <w:t xml:space="preserve"/>
      </w:r>
    </w:p>
    <w:p>
      <w:pPr>
        <w:keepNext w:val="false"/>
        <w:spacing w:after="90" w:before="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24"/>
          <w:szCs w:val="24"/>
        </w:rPr>
        <w:t xml:space="preserve">Décisions intégrées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Une activité écrite est prévue à chaque seho où elle est pédagogiquement nécessaire.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Le Kahie fanazarana est un livret séparé, aligné sur les numéros de semaine et de seho.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Une page hebdomadaire complète consolide les micro-activités sans les remplacer.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Les mêmes fiches restent disponibles dans les annexes reproductibles.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Les formes de lettres et la réglure seront arrêtées après audit des références officielles.</w:t>
      </w:r>
    </w:p>
    <w:p>
      <w:pPr>
        <w:keepNext w:val="false"/>
        <w:spacing w:after="0" w:before="160" w:line="2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75E48"/>
          <w:sz w:val="18"/>
          <w:szCs w:val="18"/>
        </w:rPr>
        <w:t xml:space="preserve">Statut : architecture validée — production annuelle non encore lancée.</w:t>
      </w:r>
    </w:p>
    <w:p>
      <w:r>
        <w:br w:type="page"/>
      </w:r>
    </w:p>
    <w:p>
      <w:pPr>
        <w:keepNext/>
        <w:spacing w:after="50" w:before="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34"/>
          <w:szCs w:val="34"/>
        </w:rPr>
        <w:t xml:space="preserve">1. Les trois architectures comparées</w:t>
      </w:r>
    </w:p>
    <w:p>
      <w:pPr>
        <w:keepNext/>
        <w:spacing w:after="15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7069"/>
          <w:sz w:val="20"/>
          <w:szCs w:val="20"/>
        </w:rPr>
        <w:t xml:space="preserve">L’option C est retenue parce qu’elle équilibre réutilisation, guidage et autonomie.</w:t>
      </w:r>
    </w:p>
    <w:p>
      <w:pPr>
        <w:spacing w:after="100" w:before="50"/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Comparaison visuelle des options A, B et C" descr="Comparaison visuelle des options A, B et C" title="Comparaison visuelle des options A, B et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8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22"/>
          <w:szCs w:val="22"/>
        </w:rPr>
        <w:t xml:space="preserve">Lecture de la planche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19"/>
          <w:szCs w:val="19"/>
        </w:rPr>
        <w:t xml:space="preserve">Option A : économique, mais demande trop de reproduction dans le cahier au T1.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19"/>
          <w:szCs w:val="19"/>
        </w:rPr>
        <w:t xml:space="preserve">Option B : très concrète, mais tout le support doit être réimprimé chaque année.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19"/>
          <w:szCs w:val="19"/>
        </w:rPr>
        <w:t xml:space="preserve">Option C : le manuel montre, le livret accompagne, le cahier développe l’autonomie et le guide sécurise l’enseignement.</w:t>
      </w:r>
    </w:p>
    <w:p>
      <w:r>
        <w:br w:type="page"/>
      </w:r>
    </w:p>
    <w:p>
      <w:pPr>
        <w:keepNext/>
        <w:spacing w:after="50" w:before="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34"/>
          <w:szCs w:val="34"/>
        </w:rPr>
        <w:t xml:space="preserve">2. Répartition exacte entre les supports</w:t>
      </w:r>
    </w:p>
    <w:p>
      <w:pPr>
        <w:keepNext/>
        <w:spacing w:after="15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7069"/>
          <w:sz w:val="20"/>
          <w:szCs w:val="20"/>
        </w:rPr>
        <w:t xml:space="preserve">Chaque support remplit une fonction distincte et complémentaire.</w:t>
      </w:r>
    </w:p>
    <w:p>
      <w:pPr>
        <w:spacing w:after="100" w:before="50"/>
        <w:jc w:val="center"/>
      </w:pPr>
      <w:r>
        <w:drawing>
          <wp:inline distT="0" distB="0" distL="0" distR="0">
            <wp:extent cx="6191250" cy="5162550"/>
            <wp:effectExtent t="0" r="0" b="0" l="0"/>
            <wp:docPr id="2" name="Répartition entre le manuel, le livret, le cahier et le guide enseignant" descr="Répartition entre le manuel, le livret, le cahier et le guide enseignant" title="Répartition entre le manuel, le livret, le cahier et le guide enseign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6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8B70"/>
          <w:sz w:val="22"/>
          <w:szCs w:val="22"/>
        </w:rPr>
        <w:t xml:space="preserve">Principe essentiel</w:t>
      </w:r>
    </w:p>
    <w:p>
      <w:pPr>
        <w:keepNext w:val="false"/>
        <w:spacing w:after="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19"/>
          <w:szCs w:val="19"/>
        </w:rPr>
        <w:t xml:space="preserve">La page hebdomadaire ne remplace jamais les activités prévues dans les seho. Elle sert à les reprendre, les consolider et les évaluer de manière plus complète.</w:t>
      </w:r>
    </w:p>
    <w:p>
      <w:r>
        <w:br w:type="page"/>
      </w:r>
    </w:p>
    <w:p>
      <w:pPr>
        <w:keepNext/>
        <w:spacing w:after="50" w:before="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34"/>
          <w:szCs w:val="34"/>
        </w:rPr>
        <w:t xml:space="preserve">3. Architecture verrouillée</w:t>
      </w:r>
    </w:p>
    <w:p>
      <w:pPr>
        <w:keepNext/>
        <w:spacing w:after="150" w:before="0" w:line="2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7069"/>
          <w:sz w:val="20"/>
          <w:szCs w:val="20"/>
        </w:rPr>
        <w:t xml:space="preserve">Organisation matérielle et pédagogique retenue pour les prochaines maquettes.</w:t>
      </w:r>
    </w:p>
    <w:tbl>
      <w:tblPr>
        <w:tblW w:type="dxa" w:w="10000"/>
        <w:tblBorders>
          <w:top w:val="single" w:color="B9C9C3" w:sz="4"/>
          <w:left w:val="single" w:color="B9C9C3" w:sz="4"/>
          <w:bottom w:val="single" w:color="B9C9C3" w:sz="4"/>
          <w:right w:val="single" w:color="B9C9C3" w:sz="4"/>
          <w:insideH w:val="single" w:color="D7E1DD" w:sz="3"/>
          <w:insideV w:val="single" w:color="D7E1DD" w:sz="3"/>
        </w:tblBorders>
      </w:tblPr>
      <w:tblGrid>
        <w:gridCol w:w="3300"/>
        <w:gridCol w:w="1900"/>
        <w:gridCol w:w="4800"/>
      </w:tblGrid>
      <w:tr>
        <w:trPr>
          <w:tblHeader/>
        </w:trPr>
        <w:tc>
          <w:tcPr>
            <w:tcW w:type="dxa" w:w="3300"/>
            <w:shd w:fill="173B35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1900"/>
            <w:shd w:fill="173B35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800"/>
            <w:shd w:fill="173B35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 exacte</w:t>
            </w:r>
          </w:p>
        </w:tc>
      </w:tr>
      <w:tr>
        <w:tc>
          <w:tcPr>
            <w:tcW w:type="dxa" w:w="3300"/>
            <w:shd w:fill="DCEAF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Bokin’ny mpianatra</w:t>
            </w:r>
          </w:p>
        </w:tc>
        <w:tc>
          <w:tcPr>
            <w:tcW w:type="dxa" w:w="1900"/>
            <w:shd w:fill="DCEAF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Réutilisable</w:t>
            </w:r>
          </w:p>
        </w:tc>
        <w:tc>
          <w:tcPr>
            <w:tcW w:type="dxa" w:w="4800"/>
            <w:shd w:fill="DCEAF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Voir, comprendre et manipuler</w:t>
            </w:r>
          </w:p>
        </w:tc>
      </w:tr>
      <w:tr>
        <w:tc>
          <w:tcPr>
            <w:tcW w:type="dxa" w:w="3300"/>
            <w:shd w:fill="FBE6D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Kahie fanazarana</w:t>
            </w:r>
          </w:p>
        </w:tc>
        <w:tc>
          <w:tcPr>
            <w:tcW w:type="dxa" w:w="1900"/>
            <w:shd w:fill="FBE6D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Consommable</w:t>
            </w:r>
          </w:p>
        </w:tc>
        <w:tc>
          <w:tcPr>
            <w:tcW w:type="dxa" w:w="4800"/>
            <w:shd w:fill="FBE6D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S’entraîner à chaque seho nécessaire</w:t>
            </w:r>
          </w:p>
        </w:tc>
      </w:tr>
      <w:tr>
        <w:tc>
          <w:tcPr>
            <w:tcW w:type="dxa" w:w="3300"/>
            <w:shd w:fill="E6F2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Kahie ordinaire</w:t>
            </w:r>
          </w:p>
        </w:tc>
        <w:tc>
          <w:tcPr>
            <w:tcW w:type="dxa" w:w="1900"/>
            <w:shd w:fill="E6F2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Personnel</w:t>
            </w:r>
          </w:p>
        </w:tc>
        <w:tc>
          <w:tcPr>
            <w:tcW w:type="dxa" w:w="4800"/>
            <w:shd w:fill="E6F2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Écrire de façon autonome</w:t>
            </w:r>
          </w:p>
        </w:tc>
      </w:tr>
      <w:tr>
        <w:tc>
          <w:tcPr>
            <w:tcW w:type="dxa" w:w="3300"/>
            <w:shd w:fill="EAE2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Torolalana ho an’ny mpampianatra</w:t>
            </w:r>
          </w:p>
        </w:tc>
        <w:tc>
          <w:tcPr>
            <w:tcW w:type="dxa" w:w="1900"/>
            <w:shd w:fill="EAE2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Réutilisable</w:t>
            </w:r>
          </w:p>
        </w:tc>
        <w:tc>
          <w:tcPr>
            <w:tcW w:type="dxa" w:w="4800"/>
            <w:shd w:fill="EAE2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keepNext w:val="false"/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3B35"/>
                <w:sz w:val="18"/>
                <w:szCs w:val="18"/>
              </w:rPr>
              <w:t xml:space="preserve">Enseigner, corriger et remédier</w:t>
            </w:r>
          </w:p>
        </w:tc>
      </w:tr>
    </w:tbl>
    <w:p>
      <w:pPr>
        <w:keepNext w:val="false"/>
        <w:spacing w:after="80" w:before="19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23"/>
          <w:szCs w:val="23"/>
        </w:rPr>
        <w:t xml:space="preserve">Correspondance obligatoire</w:t>
      </w:r>
    </w:p>
    <w:p>
      <w:pPr>
        <w:keepNext w:val="false"/>
        <w:spacing w:after="17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6E9B"/>
          <w:sz w:val="20"/>
          <w:szCs w:val="20"/>
        </w:rPr>
        <w:t xml:space="preserve">Herinandro 5 — Seho 3 dans le manuel</w:t>
      </w:r>
      <w:r>
        <w:rPr>
          <w:rFonts w:ascii="Arial" w:cs="Arial" w:eastAsia="Arial" w:hAnsi="Arial"/>
          <w:b/>
          <w:bCs/>
          <w:i w:val="false"/>
          <w:iCs w:val="false"/>
          <w:color w:val="2C8B70"/>
          <w:sz w:val="20"/>
          <w:szCs w:val="20"/>
        </w:rPr>
        <w:t xml:space="preserve">  ↔  </w:t>
      </w:r>
      <w:r>
        <w:rPr>
          <w:rFonts w:ascii="Arial" w:cs="Arial" w:eastAsia="Arial" w:hAnsi="Arial"/>
          <w:b/>
          <w:bCs/>
          <w:i w:val="false"/>
          <w:iCs w:val="false"/>
          <w:color w:val="E17B38"/>
          <w:sz w:val="20"/>
          <w:szCs w:val="20"/>
        </w:rPr>
        <w:t xml:space="preserve">Herinandro 5 — Seho 3 dans le Kahie fanazarana</w:t>
      </w:r>
      <w:r>
        <w:rPr>
          <w:rFonts w:ascii="Arial" w:cs="Arial" w:eastAsia="Arial" w:hAnsi="Arial"/>
          <w:b/>
          <w:bCs/>
          <w:i w:val="false"/>
          <w:iCs w:val="false"/>
          <w:color w:val="2C8B70"/>
          <w:sz w:val="20"/>
          <w:szCs w:val="20"/>
        </w:rPr>
        <w:t xml:space="preserve">  ↔  </w:t>
      </w:r>
      <w:r>
        <w:rPr>
          <w:rFonts w:ascii="Arial" w:cs="Arial" w:eastAsia="Arial" w:hAnsi="Arial"/>
          <w:b/>
          <w:bCs/>
          <w:i w:val="false"/>
          <w:iCs w:val="false"/>
          <w:color w:val="73569C"/>
          <w:sz w:val="20"/>
          <w:szCs w:val="20"/>
        </w:rPr>
        <w:t xml:space="preserve">Herinandro 5 — Seho 3 dans le guide enseignant</w:t>
      </w:r>
    </w:p>
    <w:p>
      <w:pPr>
        <w:keepNext w:val="false"/>
        <w:spacing w:after="90" w:before="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23"/>
          <w:szCs w:val="23"/>
        </w:rPr>
        <w:t xml:space="preserve">Chaque seho conserve sa structure complète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400"/>
        <w:gridCol w:w="2800"/>
      </w:tblGrid>
      <w:tr>
        <w:tc>
          <w:tcPr>
            <w:tcW w:type="dxa" w:w="2800"/>
            <w:shd w:fill="E8B96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Next w:val="false"/>
              <w:spacing w:after="2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I. FAMERENANA</w:t>
            </w:r>
          </w:p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7"/>
                <w:szCs w:val="17"/>
              </w:rPr>
              <w:t xml:space="preserve">2 minitra</w:t>
            </w:r>
          </w:p>
        </w:tc>
        <w:tc>
          <w:tcPr>
            <w:tcW w:type="dxa" w:w="4400"/>
            <w:shd w:fill="7CC6A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Next w:val="false"/>
              <w:spacing w:after="2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II. LESONA VAOVAO</w:t>
            </w:r>
          </w:p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7"/>
                <w:szCs w:val="17"/>
              </w:rPr>
              <w:t xml:space="preserve">14 minitra</w:t>
            </w:r>
          </w:p>
        </w:tc>
        <w:tc>
          <w:tcPr>
            <w:tcW w:type="dxa" w:w="2800"/>
            <w:shd w:fill="E89B8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Next w:val="false"/>
              <w:spacing w:after="2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8"/>
                <w:szCs w:val="18"/>
              </w:rPr>
              <w:t xml:space="preserve">III. TOMBANA</w:t>
            </w:r>
          </w:p>
          <w:p>
            <w:pPr>
              <w:keepNext w:val="false"/>
              <w:spacing w:after="0" w:before="0" w:line="2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B35"/>
                <w:sz w:val="17"/>
                <w:szCs w:val="17"/>
              </w:rPr>
              <w:t xml:space="preserve">4 minitra</w:t>
            </w:r>
          </w:p>
        </w:tc>
      </w:tr>
    </w:tbl>
    <w:p>
      <w:pPr>
        <w:keepNext w:val="false"/>
        <w:spacing w:after="80" w:before="200" w:line="27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73B35"/>
          <w:sz w:val="23"/>
          <w:szCs w:val="23"/>
        </w:rPr>
        <w:t xml:space="preserve">Étape suivante avant toute production annuelle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Auditer les formes de lettres et la réglure dans les références officielles.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Préparer une maquette d’un même seho sur les quatre supports.</w:t>
      </w:r>
    </w:p>
    <w:p>
      <w:pPr>
        <w:pStyle w:val="ListParagraph"/>
        <w:numPr>
          <w:ilvl w:val="0"/>
          <w:numId w:val="1"/>
        </w:numPr>
        <w:spacing w:after="70" w:line="255"/>
        <w:ind w:left="320" w:hanging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B35"/>
          <w:sz w:val="20"/>
          <w:szCs w:val="20"/>
        </w:rPr>
        <w:t xml:space="preserve">Soumettre cette maquette à validation avant de poursuivre.</w:t>
      </w:r>
    </w:p>
    <w:p>
      <w:pPr>
        <w:keepNext w:val="false"/>
        <w:spacing w:after="0" w:before="1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27069"/>
          <w:sz w:val="17"/>
          <w:szCs w:val="17"/>
        </w:rPr>
        <w:t xml:space="preserve">Lien brut du présent DOCX : </w:t>
      </w:r>
      <w:hyperlink w:history="1" r:id="rIdkxrpmmwiyn1mi0j_oy0f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563C1"/>
            <w:sz w:val="16"/>
            <w:szCs w:val="16"/>
            <w:u w:val="single"/>
          </w:rPr>
          <w:t xml:space="preserve">https://raw.githubusercontent.com/J-Lab-Mdg/jlearn-pack/refs/heads/arena/01a0f3c7-jlearn-pack/malagasy-t1-jlearn/output/Architecture-Visuelle-Malagasy-T1-Option-C-VALIDE.docx</w:t>
        </w:r>
      </w:hyperlink>
    </w:p>
    <w:sectPr>
      <w:headerReference w:type="default" r:id="rId6"/>
      <w:footerReference w:type="default" r:id="rId7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27069"/>
        <w:sz w:val="14"/>
        <w:szCs w:val="14"/>
      </w:rPr>
      <w:t xml:space="preserve">Architecture visuelle validée  •  </w:t>
    </w:r>
    <w:r>
      <w:rPr>
        <w:rFonts w:ascii="Arial" w:cs="Arial" w:eastAsia="Arial" w:hAnsi="Arial"/>
        <w:color w:val="52706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27069"/>
        <w:sz w:val="14"/>
        <w:szCs w:val="14"/>
      </w:rPr>
      <w:t xml:space="preserve"> / </w:t>
    </w:r>
    <w:r>
      <w:rPr>
        <w:rFonts w:ascii="Arial" w:cs="Arial" w:eastAsia="Arial" w:hAnsi="Arial"/>
        <w:color w:val="52706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spacing w:after="0" w:before="0" w:line="270"/>
      <w:jc w:val="right"/>
    </w:pPr>
    <w:r>
      <w:rPr>
        <w:rFonts w:ascii="Arial" w:cs="Arial" w:eastAsia="Arial" w:hAnsi="Arial"/>
        <w:b/>
        <w:bCs/>
        <w:i w:val="false"/>
        <w:iCs w:val="false"/>
        <w:color w:val="2C8B70"/>
        <w:sz w:val="14"/>
        <w:szCs w:val="14"/>
      </w:rPr>
      <w:t xml:space="preserve">J-LEARN • MALAGASY T1 • OPTION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3B35"/>
        <w:sz w:val="21"/>
        <w:szCs w:val="21"/>
      </w:rPr>
    </w:rPrDefault>
    <w:pPrDefault>
      <w:pPr>
        <w:spacing w:after="100" w:line="27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xrpmmwiyn1mi0j_oy0fb" Type="http://schemas.openxmlformats.org/officeDocument/2006/relationships/hyperlink" Target="https://raw.githubusercontent.com/J-Lab-Mdg/jlearn-pack/refs/heads/arena/01a0f3c7-jlearn-pack/malagasy-t1-jlearn/output/Architecture-Visuelle-Malagasy-T1-Option-C-VALIDE.docx" TargetMode="External"/><Relationship Id="rId9" Type="http://schemas.openxmlformats.org/officeDocument/2006/relationships/image" Target="media/b4b9c2a16aa3bb12cd3b1d7094dcb16ab3322ffe.png"/><Relationship Id="rId10" Type="http://schemas.openxmlformats.org/officeDocument/2006/relationships/image" Target="media/ec13ddbe4c1ba341daf950f6bef6fa1bb72bf5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visuelle Malagasy T1 — Option C validée</dc:title>
  <dc:subject>Répartition des supports pour Fiasan’ny teny et Asa an-tsoratra</dc:subject>
  <dc:creator>J-Learn / Arena.ai</dc:creator>
  <cp:keywords>Malagasy T1, J-Learn, Option C, Kahie fanazarana, architecture</cp:keywords>
  <dc:description>Document de conception validant l’architecture hybride renforcée.</dc:description>
  <cp:lastModifiedBy>Un-named</cp:lastModifiedBy>
  <cp:revision>1</cp:revision>
  <dcterms:created xsi:type="dcterms:W3CDTF">2026-10-05T06:04:27.464Z</dcterms:created>
  <dcterms:modified xsi:type="dcterms:W3CDTF">2026-10-05T06:04:27.464Z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