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bookmarkStart w:id="5000" w:name="annexes"/>
      <w:pPr>
        <w:jc w:val="center"/>
      </w:pPr>
      <w:r>
        <w:rPr>
          <w:rFonts w:ascii="Times New Roman" w:hAnsi="Times New Roman"/>
          <w:b/>
          <w:color w:val="C00000"/>
          <w:sz w:val="44"/>
        </w:rPr>
        <w:t>ANNEXES — MATHÉMATIQUES T5</w:t>
      </w:r>
      <w:bookmarkEnd w:id="5000"/>
    </w:p>
    <w:p>
      <w:pPr>
        <w:jc w:val="both"/>
      </w:pPr>
      <w:r>
        <w:rPr>
          <w:rFonts w:ascii="Times New Roman" w:hAnsi="Times New Roman"/>
          <w:b w:val="0"/>
          <w:sz w:val="24"/>
        </w:rPr>
        <w:t>Synthèse des notions étudiées dans les six unités, en préparation de l’examen du CEPE.</w:t>
      </w:r>
    </w:p>
    <w:p>
      <w:r>
        <w:br w:type="page"/>
      </w:r>
    </w:p>
    <w:p>
      <w:bookmarkStart w:id="5001" w:name="annexe1"/>
      <w:pPr>
        <w:jc w:val="center"/>
      </w:pPr>
      <w:r>
        <w:rPr>
          <w:rFonts w:ascii="Times New Roman" w:hAnsi="Times New Roman"/>
          <w:b/>
          <w:color w:val="C00000"/>
          <w:sz w:val="36"/>
        </w:rPr>
        <w:t>ANNEXE 1 — GLOSSAIRE</w:t>
      </w:r>
      <w:bookmarkEnd w:id="5001"/>
    </w:p>
    <w:p>
      <w:r>
        <w:rPr>
          <w:rFonts w:ascii="Times New Roman" w:hAnsi="Times New Roman"/>
          <w:b/>
          <w:color w:val="1F4E79"/>
          <w:sz w:val="24"/>
        </w:rPr>
        <w:t xml:space="preserve">Aire : </w:t>
      </w:r>
      <w:r>
        <w:rPr>
          <w:rFonts w:ascii="Times New Roman" w:hAnsi="Times New Roman"/>
          <w:b w:val="0"/>
          <w:sz w:val="24"/>
        </w:rPr>
        <w:t>mesure, en unités carrées, de la surface d’une figure plane fermée.</w:t>
      </w:r>
    </w:p>
    <w:p>
      <w:r>
        <w:rPr>
          <w:rFonts w:ascii="Times New Roman" w:hAnsi="Times New Roman"/>
          <w:b/>
          <w:color w:val="1F4E79"/>
          <w:sz w:val="24"/>
        </w:rPr>
        <w:t xml:space="preserve">Angle aigu : </w:t>
      </w:r>
      <w:r>
        <w:rPr>
          <w:rFonts w:ascii="Times New Roman" w:hAnsi="Times New Roman"/>
          <w:b w:val="0"/>
          <w:sz w:val="24"/>
        </w:rPr>
        <w:t>angle plus petit que l’angle droit.</w:t>
      </w:r>
    </w:p>
    <w:p>
      <w:r>
        <w:rPr>
          <w:rFonts w:ascii="Times New Roman" w:hAnsi="Times New Roman"/>
          <w:b/>
          <w:color w:val="1F4E79"/>
          <w:sz w:val="24"/>
        </w:rPr>
        <w:t xml:space="preserve">Angle droit : </w:t>
      </w:r>
      <w:r>
        <w:rPr>
          <w:rFonts w:ascii="Times New Roman" w:hAnsi="Times New Roman"/>
          <w:b w:val="0"/>
          <w:sz w:val="24"/>
        </w:rPr>
        <w:t>angle formé par deux lignes perpendiculaires, comme le coin d’un cahier.</w:t>
      </w:r>
    </w:p>
    <w:p>
      <w:r>
        <w:rPr>
          <w:rFonts w:ascii="Times New Roman" w:hAnsi="Times New Roman"/>
          <w:b/>
          <w:color w:val="1F4E79"/>
          <w:sz w:val="24"/>
        </w:rPr>
        <w:t xml:space="preserve">Angle obtus : </w:t>
      </w:r>
      <w:r>
        <w:rPr>
          <w:rFonts w:ascii="Times New Roman" w:hAnsi="Times New Roman"/>
          <w:b w:val="0"/>
          <w:sz w:val="24"/>
        </w:rPr>
        <w:t>angle plus grand que l’angle droit mais plus petit que l’angle plat.</w:t>
      </w:r>
    </w:p>
    <w:p>
      <w:r>
        <w:rPr>
          <w:rFonts w:ascii="Times New Roman" w:hAnsi="Times New Roman"/>
          <w:b/>
          <w:color w:val="1F4E79"/>
          <w:sz w:val="24"/>
        </w:rPr>
        <w:t xml:space="preserve">Capacité : </w:t>
      </w:r>
      <w:r>
        <w:rPr>
          <w:rFonts w:ascii="Times New Roman" w:hAnsi="Times New Roman"/>
          <w:b w:val="0"/>
          <w:sz w:val="24"/>
        </w:rPr>
        <w:t>quantité de liquide qu’un récipient peut contenir ; unité principale : le litre.</w:t>
      </w:r>
    </w:p>
    <w:p>
      <w:r>
        <w:rPr>
          <w:rFonts w:ascii="Times New Roman" w:hAnsi="Times New Roman"/>
          <w:b/>
          <w:color w:val="1F4E79"/>
          <w:sz w:val="24"/>
        </w:rPr>
        <w:t xml:space="preserve">Chiffre : </w:t>
      </w:r>
      <w:r>
        <w:rPr>
          <w:rFonts w:ascii="Times New Roman" w:hAnsi="Times New Roman"/>
          <w:b w:val="0"/>
          <w:sz w:val="24"/>
        </w:rPr>
        <w:t>signe qui sert à écrire les nombres : 0, 1, 2, 3, 4, 5, 6, 7, 8, 9.</w:t>
      </w:r>
    </w:p>
    <w:p>
      <w:r>
        <w:rPr>
          <w:rFonts w:ascii="Times New Roman" w:hAnsi="Times New Roman"/>
          <w:b/>
          <w:color w:val="1F4E79"/>
          <w:sz w:val="24"/>
        </w:rPr>
        <w:t xml:space="preserve">Diagramme en barres : </w:t>
      </w:r>
      <w:r>
        <w:rPr>
          <w:rFonts w:ascii="Times New Roman" w:hAnsi="Times New Roman"/>
          <w:b w:val="0"/>
          <w:sz w:val="24"/>
        </w:rPr>
        <w:t>représentation des données par des barres dont la hauteur indique l’effectif.</w:t>
      </w:r>
    </w:p>
    <w:p>
      <w:r>
        <w:rPr>
          <w:rFonts w:ascii="Times New Roman" w:hAnsi="Times New Roman"/>
          <w:b/>
          <w:color w:val="1F4E79"/>
          <w:sz w:val="24"/>
        </w:rPr>
        <w:t xml:space="preserve">Dividende : </w:t>
      </w:r>
      <w:r>
        <w:rPr>
          <w:rFonts w:ascii="Times New Roman" w:hAnsi="Times New Roman"/>
          <w:b w:val="0"/>
          <w:sz w:val="24"/>
        </w:rPr>
        <w:t>nombre que l’on partage dans une division.</w:t>
      </w:r>
    </w:p>
    <w:p>
      <w:r>
        <w:rPr>
          <w:rFonts w:ascii="Times New Roman" w:hAnsi="Times New Roman"/>
          <w:b/>
          <w:color w:val="1F4E79"/>
          <w:sz w:val="24"/>
        </w:rPr>
        <w:t xml:space="preserve">Diviseur : </w:t>
      </w:r>
      <w:r>
        <w:rPr>
          <w:rFonts w:ascii="Times New Roman" w:hAnsi="Times New Roman"/>
          <w:b w:val="0"/>
          <w:sz w:val="24"/>
        </w:rPr>
        <w:t>nombre par lequel on divise.</w:t>
      </w:r>
    </w:p>
    <w:p>
      <w:r>
        <w:rPr>
          <w:rFonts w:ascii="Times New Roman" w:hAnsi="Times New Roman"/>
          <w:b/>
          <w:color w:val="1F4E79"/>
          <w:sz w:val="24"/>
        </w:rPr>
        <w:t xml:space="preserve">Dixième : </w:t>
      </w:r>
      <w:r>
        <w:rPr>
          <w:rFonts w:ascii="Times New Roman" w:hAnsi="Times New Roman"/>
          <w:b w:val="0"/>
          <w:sz w:val="24"/>
        </w:rPr>
        <w:t>une des dix parts égales de l’unité ; premier chiffre après la virgule.</w:t>
      </w:r>
    </w:p>
    <w:p>
      <w:r>
        <w:rPr>
          <w:rFonts w:ascii="Times New Roman" w:hAnsi="Times New Roman"/>
          <w:b/>
          <w:color w:val="1F4E79"/>
          <w:sz w:val="24"/>
        </w:rPr>
        <w:t xml:space="preserve">Centième : </w:t>
      </w:r>
      <w:r>
        <w:rPr>
          <w:rFonts w:ascii="Times New Roman" w:hAnsi="Times New Roman"/>
          <w:b w:val="0"/>
          <w:sz w:val="24"/>
        </w:rPr>
        <w:t>une des cent parts égales de l’unité ; deuxième chiffre après la virgule.</w:t>
      </w:r>
    </w:p>
    <w:p>
      <w:r>
        <w:rPr>
          <w:rFonts w:ascii="Times New Roman" w:hAnsi="Times New Roman"/>
          <w:b/>
          <w:color w:val="1F4E79"/>
          <w:sz w:val="24"/>
        </w:rPr>
        <w:t xml:space="preserve">Effectif : </w:t>
      </w:r>
      <w:r>
        <w:rPr>
          <w:rFonts w:ascii="Times New Roman" w:hAnsi="Times New Roman"/>
          <w:b w:val="0"/>
          <w:sz w:val="24"/>
        </w:rPr>
        <w:t>nombre de fois qu’une donnée se présente dans une enquête.</w:t>
      </w:r>
    </w:p>
    <w:p>
      <w:r>
        <w:rPr>
          <w:rFonts w:ascii="Times New Roman" w:hAnsi="Times New Roman"/>
          <w:b/>
          <w:color w:val="1F4E79"/>
          <w:sz w:val="24"/>
        </w:rPr>
        <w:t xml:space="preserve">Enquête : </w:t>
      </w:r>
      <w:r>
        <w:rPr>
          <w:rFonts w:ascii="Times New Roman" w:hAnsi="Times New Roman"/>
          <w:b w:val="0"/>
          <w:sz w:val="24"/>
        </w:rPr>
        <w:t>collecte de données auprès de personnes pour répondre à une question.</w:t>
      </w:r>
    </w:p>
    <w:p>
      <w:r>
        <w:rPr>
          <w:rFonts w:ascii="Times New Roman" w:hAnsi="Times New Roman"/>
          <w:b/>
          <w:color w:val="1F4E79"/>
          <w:sz w:val="24"/>
        </w:rPr>
        <w:t xml:space="preserve">Équation : </w:t>
      </w:r>
      <w:r>
        <w:rPr>
          <w:rFonts w:ascii="Times New Roman" w:hAnsi="Times New Roman"/>
          <w:b w:val="0"/>
          <w:sz w:val="24"/>
        </w:rPr>
        <w:t>énoncé mathématique qui comporte une inconnue et le signe d’égalité.</w:t>
      </w:r>
    </w:p>
    <w:p>
      <w:r>
        <w:rPr>
          <w:rFonts w:ascii="Times New Roman" w:hAnsi="Times New Roman"/>
          <w:b/>
          <w:color w:val="1F4E79"/>
          <w:sz w:val="24"/>
        </w:rPr>
        <w:t xml:space="preserve">Essais systématiques : </w:t>
      </w:r>
      <w:r>
        <w:rPr>
          <w:rFonts w:ascii="Times New Roman" w:hAnsi="Times New Roman"/>
          <w:b w:val="0"/>
          <w:sz w:val="24"/>
        </w:rPr>
        <w:t>méthode qui consiste à essayer des valeurs l’une après l’autre puis à vérifier.</w:t>
      </w:r>
    </w:p>
    <w:p>
      <w:r>
        <w:rPr>
          <w:rFonts w:ascii="Times New Roman" w:hAnsi="Times New Roman"/>
          <w:b/>
          <w:color w:val="1F4E79"/>
          <w:sz w:val="24"/>
        </w:rPr>
        <w:t xml:space="preserve">Fraction : </w:t>
      </w:r>
      <w:r>
        <w:rPr>
          <w:rFonts w:ascii="Times New Roman" w:hAnsi="Times New Roman"/>
          <w:b w:val="0"/>
          <w:sz w:val="24"/>
        </w:rPr>
        <w:t>écriture qui représente une ou plusieurs parts égales de l’unité : numérateur sur dénominateur.</w:t>
      </w:r>
    </w:p>
    <w:p>
      <w:r>
        <w:rPr>
          <w:rFonts w:ascii="Times New Roman" w:hAnsi="Times New Roman"/>
          <w:b/>
          <w:color w:val="1F4E79"/>
          <w:sz w:val="24"/>
        </w:rPr>
        <w:t xml:space="preserve">Fraction décimale : </w:t>
      </w:r>
      <w:r>
        <w:rPr>
          <w:rFonts w:ascii="Times New Roman" w:hAnsi="Times New Roman"/>
          <w:b w:val="0"/>
          <w:sz w:val="24"/>
        </w:rPr>
        <w:t>fraction dont le dénominateur est 10 ou 100.</w:t>
      </w:r>
    </w:p>
    <w:p>
      <w:r>
        <w:rPr>
          <w:rFonts w:ascii="Times New Roman" w:hAnsi="Times New Roman"/>
          <w:b/>
          <w:color w:val="1F4E79"/>
          <w:sz w:val="24"/>
        </w:rPr>
        <w:t xml:space="preserve">Fraction impropre : </w:t>
      </w:r>
      <w:r>
        <w:rPr>
          <w:rFonts w:ascii="Times New Roman" w:hAnsi="Times New Roman"/>
          <w:b w:val="0"/>
          <w:sz w:val="24"/>
        </w:rPr>
        <w:t>fraction dont le numérateur est plus grand que le dénominateur.</w:t>
      </w:r>
    </w:p>
    <w:p>
      <w:r>
        <w:rPr>
          <w:rFonts w:ascii="Times New Roman" w:hAnsi="Times New Roman"/>
          <w:b/>
          <w:color w:val="1F4E79"/>
          <w:sz w:val="24"/>
        </w:rPr>
        <w:t xml:space="preserve">Fractions équivalentes : </w:t>
      </w:r>
      <w:r>
        <w:rPr>
          <w:rFonts w:ascii="Times New Roman" w:hAnsi="Times New Roman"/>
          <w:b w:val="0"/>
          <w:sz w:val="24"/>
        </w:rPr>
        <w:t>fractions qui représentent la même quantité, comme 1/2 et 2/4.</w:t>
      </w:r>
    </w:p>
    <w:p>
      <w:r>
        <w:rPr>
          <w:rFonts w:ascii="Times New Roman" w:hAnsi="Times New Roman"/>
          <w:b/>
          <w:color w:val="1F4E79"/>
          <w:sz w:val="24"/>
        </w:rPr>
        <w:t xml:space="preserve">Masse : </w:t>
      </w:r>
      <w:r>
        <w:rPr>
          <w:rFonts w:ascii="Times New Roman" w:hAnsi="Times New Roman"/>
          <w:b w:val="0"/>
          <w:sz w:val="24"/>
        </w:rPr>
        <w:t>ce que pèse un objet ; unité principale : le gramme et ses multiples.</w:t>
      </w:r>
    </w:p>
    <w:p>
      <w:r>
        <w:rPr>
          <w:rFonts w:ascii="Times New Roman" w:hAnsi="Times New Roman"/>
          <w:b/>
          <w:color w:val="1F4E79"/>
          <w:sz w:val="24"/>
        </w:rPr>
        <w:t xml:space="preserve">Motif : </w:t>
      </w:r>
      <w:r>
        <w:rPr>
          <w:rFonts w:ascii="Times New Roman" w:hAnsi="Times New Roman"/>
          <w:b w:val="0"/>
          <w:sz w:val="24"/>
        </w:rPr>
        <w:t>ensemble des éléments qui se répètent dans une suite ; il peut être répété ou croissant.</w:t>
      </w:r>
    </w:p>
    <w:p>
      <w:r>
        <w:rPr>
          <w:rFonts w:ascii="Times New Roman" w:hAnsi="Times New Roman"/>
          <w:b/>
          <w:color w:val="1F4E79"/>
          <w:sz w:val="24"/>
        </w:rPr>
        <w:t xml:space="preserve">Multiplicande : </w:t>
      </w:r>
      <w:r>
        <w:rPr>
          <w:rFonts w:ascii="Times New Roman" w:hAnsi="Times New Roman"/>
          <w:b w:val="0"/>
          <w:sz w:val="24"/>
        </w:rPr>
        <w:t>nombre que l’on multiplie.</w:t>
      </w:r>
    </w:p>
    <w:p>
      <w:r>
        <w:rPr>
          <w:rFonts w:ascii="Times New Roman" w:hAnsi="Times New Roman"/>
          <w:b/>
          <w:color w:val="1F4E79"/>
          <w:sz w:val="24"/>
        </w:rPr>
        <w:t xml:space="preserve">Multiplicateur : </w:t>
      </w:r>
      <w:r>
        <w:rPr>
          <w:rFonts w:ascii="Times New Roman" w:hAnsi="Times New Roman"/>
          <w:b w:val="0"/>
          <w:sz w:val="24"/>
        </w:rPr>
        <w:t>nombre de fois que l’on prend le multiplicande.</w:t>
      </w:r>
    </w:p>
    <w:p>
      <w:r>
        <w:rPr>
          <w:rFonts w:ascii="Times New Roman" w:hAnsi="Times New Roman"/>
          <w:b/>
          <w:color w:val="1F4E79"/>
          <w:sz w:val="24"/>
        </w:rPr>
        <w:t xml:space="preserve">Nombre décimal : </w:t>
      </w:r>
      <w:r>
        <w:rPr>
          <w:rFonts w:ascii="Times New Roman" w:hAnsi="Times New Roman"/>
          <w:b w:val="0"/>
          <w:sz w:val="24"/>
        </w:rPr>
        <w:t>nombre qui comporte une partie entière et une partie décimale séparées par une virgule.</w:t>
      </w:r>
    </w:p>
    <w:p>
      <w:r>
        <w:rPr>
          <w:rFonts w:ascii="Times New Roman" w:hAnsi="Times New Roman"/>
          <w:b/>
          <w:color w:val="1F4E79"/>
          <w:sz w:val="24"/>
        </w:rPr>
        <w:t xml:space="preserve">Nombre fractionnaire : </w:t>
      </w:r>
      <w:r>
        <w:rPr>
          <w:rFonts w:ascii="Times New Roman" w:hAnsi="Times New Roman"/>
          <w:b w:val="0"/>
          <w:sz w:val="24"/>
        </w:rPr>
        <w:t>nombre formé d’un entier et d’une fraction, comme 1 et 1/2.</w:t>
      </w:r>
    </w:p>
    <w:p>
      <w:r>
        <w:rPr>
          <w:rFonts w:ascii="Times New Roman" w:hAnsi="Times New Roman"/>
          <w:b/>
          <w:color w:val="1F4E79"/>
          <w:sz w:val="24"/>
        </w:rPr>
        <w:t xml:space="preserve">Périmètre : </w:t>
      </w:r>
      <w:r>
        <w:rPr>
          <w:rFonts w:ascii="Times New Roman" w:hAnsi="Times New Roman"/>
          <w:b w:val="0"/>
          <w:sz w:val="24"/>
        </w:rPr>
        <w:t>longueur du tour complet d’une figure plane.</w:t>
      </w:r>
    </w:p>
    <w:p>
      <w:r>
        <w:rPr>
          <w:rFonts w:ascii="Times New Roman" w:hAnsi="Times New Roman"/>
          <w:b/>
          <w:color w:val="1F4E79"/>
          <w:sz w:val="24"/>
        </w:rPr>
        <w:t xml:space="preserve">Pictogramme : </w:t>
      </w:r>
      <w:r>
        <w:rPr>
          <w:rFonts w:ascii="Times New Roman" w:hAnsi="Times New Roman"/>
          <w:b w:val="0"/>
          <w:sz w:val="24"/>
        </w:rPr>
        <w:t>représentation des données par de petits dessins qui valent chacun une quantité.</w:t>
      </w:r>
    </w:p>
    <w:p>
      <w:r>
        <w:rPr>
          <w:rFonts w:ascii="Times New Roman" w:hAnsi="Times New Roman"/>
          <w:b/>
          <w:color w:val="1F4E79"/>
          <w:sz w:val="24"/>
        </w:rPr>
        <w:t xml:space="preserve">Polygone : </w:t>
      </w:r>
      <w:r>
        <w:rPr>
          <w:rFonts w:ascii="Times New Roman" w:hAnsi="Times New Roman"/>
          <w:b w:val="0"/>
          <w:sz w:val="24"/>
        </w:rPr>
        <w:t>figure plane fermée dont les côtés sont des segments de droite.</w:t>
      </w:r>
    </w:p>
    <w:p>
      <w:r>
        <w:rPr>
          <w:rFonts w:ascii="Times New Roman" w:hAnsi="Times New Roman"/>
          <w:b/>
          <w:color w:val="1F4E79"/>
          <w:sz w:val="24"/>
        </w:rPr>
        <w:t xml:space="preserve">Polygone régulier : </w:t>
      </w:r>
      <w:r>
        <w:rPr>
          <w:rFonts w:ascii="Times New Roman" w:hAnsi="Times New Roman"/>
          <w:b w:val="0"/>
          <w:sz w:val="24"/>
        </w:rPr>
        <w:t>polygone dont tous les côtés et tous les angles sont égaux, comme le carré.</w:t>
      </w:r>
    </w:p>
    <w:p>
      <w:r>
        <w:rPr>
          <w:rFonts w:ascii="Times New Roman" w:hAnsi="Times New Roman"/>
          <w:b/>
          <w:color w:val="1F4E79"/>
          <w:sz w:val="24"/>
        </w:rPr>
        <w:t xml:space="preserve">Probabilité d’un événement : </w:t>
      </w:r>
      <w:r>
        <w:rPr>
          <w:rFonts w:ascii="Times New Roman" w:hAnsi="Times New Roman"/>
          <w:b w:val="0"/>
          <w:sz w:val="24"/>
        </w:rPr>
        <w:t>rapport du nombre de résultats favorables au nombre de résultats possibles.</w:t>
      </w:r>
    </w:p>
    <w:p>
      <w:r>
        <w:rPr>
          <w:rFonts w:ascii="Times New Roman" w:hAnsi="Times New Roman"/>
          <w:b/>
          <w:color w:val="1F4E79"/>
          <w:sz w:val="24"/>
        </w:rPr>
        <w:t xml:space="preserve">Quadrilatère : </w:t>
      </w:r>
      <w:r>
        <w:rPr>
          <w:rFonts w:ascii="Times New Roman" w:hAnsi="Times New Roman"/>
          <w:b w:val="0"/>
          <w:sz w:val="24"/>
        </w:rPr>
        <w:t>polygone à quatre côtés.</w:t>
      </w:r>
    </w:p>
    <w:p>
      <w:r>
        <w:rPr>
          <w:rFonts w:ascii="Times New Roman" w:hAnsi="Times New Roman"/>
          <w:b/>
          <w:color w:val="1F4E79"/>
          <w:sz w:val="24"/>
        </w:rPr>
        <w:t xml:space="preserve">Quotient : </w:t>
      </w:r>
      <w:r>
        <w:rPr>
          <w:rFonts w:ascii="Times New Roman" w:hAnsi="Times New Roman"/>
          <w:b w:val="0"/>
          <w:sz w:val="24"/>
        </w:rPr>
        <w:t>résultat de la division.</w:t>
      </w:r>
    </w:p>
    <w:p>
      <w:r>
        <w:rPr>
          <w:rFonts w:ascii="Times New Roman" w:hAnsi="Times New Roman"/>
          <w:b/>
          <w:color w:val="1F4E79"/>
          <w:sz w:val="24"/>
        </w:rPr>
        <w:t xml:space="preserve">Reste : </w:t>
      </w:r>
      <w:r>
        <w:rPr>
          <w:rFonts w:ascii="Times New Roman" w:hAnsi="Times New Roman"/>
          <w:b w:val="0"/>
          <w:sz w:val="24"/>
        </w:rPr>
        <w:t>ce qui reste après une division quand le partage ne tombe pas juste.</w:t>
      </w:r>
    </w:p>
    <w:p>
      <w:r>
        <w:rPr>
          <w:rFonts w:ascii="Times New Roman" w:hAnsi="Times New Roman"/>
          <w:b/>
          <w:color w:val="1F4E79"/>
          <w:sz w:val="24"/>
        </w:rPr>
        <w:t xml:space="preserve">Règle de trois : </w:t>
      </w:r>
      <w:r>
        <w:rPr>
          <w:rFonts w:ascii="Times New Roman" w:hAnsi="Times New Roman"/>
          <w:b w:val="0"/>
          <w:sz w:val="24"/>
        </w:rPr>
        <w:t>méthode pour trouver une quatrième valeur quand trois valeurs proportionnelles sont connues.</w:t>
      </w:r>
    </w:p>
    <w:p>
      <w:r>
        <w:rPr>
          <w:rFonts w:ascii="Times New Roman" w:hAnsi="Times New Roman"/>
          <w:b/>
          <w:color w:val="1F4E79"/>
          <w:sz w:val="24"/>
        </w:rPr>
        <w:t xml:space="preserve">Suite : </w:t>
      </w:r>
      <w:r>
        <w:rPr>
          <w:rFonts w:ascii="Times New Roman" w:hAnsi="Times New Roman"/>
          <w:b w:val="0"/>
          <w:sz w:val="24"/>
        </w:rPr>
        <w:t>liste d’éléments arrangés dans un ordre déterminé.</w:t>
      </w:r>
    </w:p>
    <w:p>
      <w:r>
        <w:rPr>
          <w:rFonts w:ascii="Times New Roman" w:hAnsi="Times New Roman"/>
          <w:b/>
          <w:color w:val="1F4E79"/>
          <w:sz w:val="24"/>
        </w:rPr>
        <w:t xml:space="preserve">Tableau des effectifs : </w:t>
      </w:r>
      <w:r>
        <w:rPr>
          <w:rFonts w:ascii="Times New Roman" w:hAnsi="Times New Roman"/>
          <w:b w:val="0"/>
          <w:sz w:val="24"/>
        </w:rPr>
        <w:t>tableau utilisé pour dénombrer les données et noter combien de fois chacune se présente.</w:t>
      </w:r>
    </w:p>
    <w:p>
      <w:r>
        <w:rPr>
          <w:rFonts w:ascii="Times New Roman" w:hAnsi="Times New Roman"/>
          <w:b/>
          <w:color w:val="1F4E79"/>
          <w:sz w:val="24"/>
        </w:rPr>
        <w:t xml:space="preserve">Taux unitaire : </w:t>
      </w:r>
      <w:r>
        <w:rPr>
          <w:rFonts w:ascii="Times New Roman" w:hAnsi="Times New Roman"/>
          <w:b w:val="0"/>
          <w:sz w:val="24"/>
        </w:rPr>
        <w:t>valeur d’une seule unité, par exemple le prix d’un kilo de riz.</w:t>
      </w:r>
    </w:p>
    <w:p>
      <w:r>
        <w:rPr>
          <w:rFonts w:ascii="Times New Roman" w:hAnsi="Times New Roman"/>
          <w:b/>
          <w:color w:val="1F4E79"/>
          <w:sz w:val="24"/>
        </w:rPr>
        <w:t xml:space="preserve">Terme : </w:t>
      </w:r>
      <w:r>
        <w:rPr>
          <w:rFonts w:ascii="Times New Roman" w:hAnsi="Times New Roman"/>
          <w:b w:val="0"/>
          <w:sz w:val="24"/>
        </w:rPr>
        <w:t>chacun des éléments d’une suite, d’une somme ou d’une différence.</w:t>
      </w:r>
    </w:p>
    <w:p>
      <w:r>
        <w:rPr>
          <w:rFonts w:ascii="Times New Roman" w:hAnsi="Times New Roman"/>
          <w:b/>
          <w:color w:val="1F4E79"/>
          <w:sz w:val="24"/>
        </w:rPr>
        <w:t xml:space="preserve">Triangle équilatéral : </w:t>
      </w:r>
      <w:r>
        <w:rPr>
          <w:rFonts w:ascii="Times New Roman" w:hAnsi="Times New Roman"/>
          <w:b w:val="0"/>
          <w:sz w:val="24"/>
        </w:rPr>
        <w:t>triangle dont les trois côtés ont la même longueur.</w:t>
      </w:r>
    </w:p>
    <w:p>
      <w:r>
        <w:rPr>
          <w:rFonts w:ascii="Times New Roman" w:hAnsi="Times New Roman"/>
          <w:b/>
          <w:color w:val="1F4E79"/>
          <w:sz w:val="24"/>
        </w:rPr>
        <w:t xml:space="preserve">Triangle isocèle : </w:t>
      </w:r>
      <w:r>
        <w:rPr>
          <w:rFonts w:ascii="Times New Roman" w:hAnsi="Times New Roman"/>
          <w:b w:val="0"/>
          <w:sz w:val="24"/>
        </w:rPr>
        <w:t>triangle qui a deux côtés de même longueur.</w:t>
      </w:r>
    </w:p>
    <w:p>
      <w:r>
        <w:rPr>
          <w:rFonts w:ascii="Times New Roman" w:hAnsi="Times New Roman"/>
          <w:b/>
          <w:color w:val="1F4E79"/>
          <w:sz w:val="24"/>
        </w:rPr>
        <w:t xml:space="preserve">Triangle rectangle : </w:t>
      </w:r>
      <w:r>
        <w:rPr>
          <w:rFonts w:ascii="Times New Roman" w:hAnsi="Times New Roman"/>
          <w:b w:val="0"/>
          <w:sz w:val="24"/>
        </w:rPr>
        <w:t>triangle qui possède un angle droit.</w:t>
      </w:r>
    </w:p>
    <w:p>
      <w:r>
        <w:rPr>
          <w:rFonts w:ascii="Times New Roman" w:hAnsi="Times New Roman"/>
          <w:b/>
          <w:color w:val="1F4E79"/>
          <w:sz w:val="24"/>
        </w:rPr>
        <w:t xml:space="preserve">Triangle scalène : </w:t>
      </w:r>
      <w:r>
        <w:rPr>
          <w:rFonts w:ascii="Times New Roman" w:hAnsi="Times New Roman"/>
          <w:b w:val="0"/>
          <w:sz w:val="24"/>
        </w:rPr>
        <w:t>triangle dont les trois côtés ont des longueurs toutes différentes.</w:t>
      </w:r>
    </w:p>
    <w:p>
      <w:r>
        <w:rPr>
          <w:rFonts w:ascii="Times New Roman" w:hAnsi="Times New Roman"/>
          <w:b/>
          <w:color w:val="1F4E79"/>
          <w:sz w:val="24"/>
        </w:rPr>
        <w:t xml:space="preserve">Valeur de position : </w:t>
      </w:r>
      <w:r>
        <w:rPr>
          <w:rFonts w:ascii="Times New Roman" w:hAnsi="Times New Roman"/>
          <w:b w:val="0"/>
          <w:sz w:val="24"/>
        </w:rPr>
        <w:t>valeur d’un chiffre selon sa place dans le nombre : unités, dizaines, centaines….</w:t>
      </w:r>
    </w:p>
    <w:p>
      <w:r>
        <w:rPr>
          <w:rFonts w:ascii="Times New Roman" w:hAnsi="Times New Roman"/>
          <w:b/>
          <w:color w:val="1F4E79"/>
          <w:sz w:val="24"/>
        </w:rPr>
        <w:t xml:space="preserve">Volume : </w:t>
      </w:r>
      <w:r>
        <w:rPr>
          <w:rFonts w:ascii="Times New Roman" w:hAnsi="Times New Roman"/>
          <w:b w:val="0"/>
          <w:sz w:val="24"/>
        </w:rPr>
        <w:t>place qu’occupe un objet dans l’espace, mesurée en unités cubes (cm³).</w:t>
      </w:r>
    </w:p>
    <w:p>
      <w:r>
        <w:br w:type="page"/>
      </w:r>
    </w:p>
    <w:p>
      <w:bookmarkStart w:id="5002" w:name="annexe2"/>
      <w:pPr>
        <w:jc w:val="center"/>
      </w:pPr>
      <w:r>
        <w:rPr>
          <w:rFonts w:ascii="Times New Roman" w:hAnsi="Times New Roman"/>
          <w:b/>
          <w:color w:val="C00000"/>
          <w:sz w:val="36"/>
        </w:rPr>
        <w:t>ANNEXE 2 — FORMULES ET PROPRIÉTÉS</w:t>
      </w:r>
      <w:bookmarkEnd w:id="5002"/>
    </w:p>
    <w:tbl>
      <w:tblPr>
        <w:tblStyle w:val="TableGrid"/>
        <w:tblW w:type="auto" w:w="0"/>
        <w:jc w:val="center"/>
        <w:tblLook w:firstColumn="1" w:firstRow="1" w:lastColumn="0" w:lastRow="0" w:noHBand="0" w:noVBand="1" w:val="04A0"/>
      </w:tblPr>
      <w:tblGrid>
        <w:gridCol w:w="4320"/>
        <w:gridCol w:w="4320"/>
      </w:tblGrid>
      <w:tr>
        <w:tc>
          <w:tcPr>
            <w:tcW w:type="dxa" w:w="4320"/>
          </w:tcPr>
          <w:p>
            <w:r>
              <w:rPr>
                <w:rFonts w:ascii="Times New Roman" w:hAnsi="Times New Roman"/>
                <w:b/>
                <w:sz w:val="22"/>
              </w:rPr>
              <w:t>Notion</w:t>
            </w:r>
          </w:p>
        </w:tc>
        <w:tc>
          <w:tcPr>
            <w:tcW w:type="dxa" w:w="4320"/>
          </w:tcPr>
          <w:p>
            <w:r>
              <w:rPr>
                <w:rFonts w:ascii="Times New Roman" w:hAnsi="Times New Roman"/>
                <w:b/>
                <w:sz w:val="22"/>
              </w:rPr>
              <w:t>Formule ou propriété</w:t>
            </w:r>
          </w:p>
        </w:tc>
      </w:tr>
      <w:tr>
        <w:tc>
          <w:tcPr>
            <w:tcW w:type="dxa" w:w="4320"/>
          </w:tcPr>
          <w:p>
            <w:r>
              <w:rPr>
                <w:rFonts w:ascii="Times New Roman" w:hAnsi="Times New Roman"/>
                <w:b w:val="0"/>
                <w:sz w:val="22"/>
              </w:rPr>
              <w:t>Tableau de numération</w:t>
            </w:r>
          </w:p>
        </w:tc>
        <w:tc>
          <w:tcPr>
            <w:tcW w:type="dxa" w:w="4320"/>
          </w:tcPr>
          <w:p>
            <w:r>
              <w:rPr>
                <w:rFonts w:ascii="Times New Roman" w:hAnsi="Times New Roman"/>
                <w:b w:val="0"/>
                <w:sz w:val="22"/>
              </w:rPr>
              <w:t>centaines de mille, dizaines de mille, unités de mille, centaines, dizaines, unités</w:t>
            </w:r>
          </w:p>
        </w:tc>
      </w:tr>
      <w:tr>
        <w:tc>
          <w:tcPr>
            <w:tcW w:type="dxa" w:w="4320"/>
          </w:tcPr>
          <w:p>
            <w:r>
              <w:rPr>
                <w:rFonts w:ascii="Times New Roman" w:hAnsi="Times New Roman"/>
                <w:b w:val="0"/>
                <w:sz w:val="22"/>
              </w:rPr>
              <w:t>Comparer des nombres</w:t>
            </w:r>
          </w:p>
        </w:tc>
        <w:tc>
          <w:tcPr>
            <w:tcW w:type="dxa" w:w="4320"/>
          </w:tcPr>
          <w:p>
            <w:r>
              <w:rPr>
                <w:rFonts w:ascii="Times New Roman" w:hAnsi="Times New Roman"/>
                <w:b w:val="0"/>
                <w:sz w:val="22"/>
              </w:rPr>
              <w:t>on compare d’abord le nombre de chiffres, puis chiffre par chiffre en partant de la gauche</w:t>
            </w:r>
          </w:p>
        </w:tc>
      </w:tr>
      <w:tr>
        <w:tc>
          <w:tcPr>
            <w:tcW w:type="dxa" w:w="4320"/>
          </w:tcPr>
          <w:p>
            <w:r>
              <w:rPr>
                <w:rFonts w:ascii="Times New Roman" w:hAnsi="Times New Roman"/>
                <w:b w:val="0"/>
                <w:sz w:val="22"/>
              </w:rPr>
              <w:t>Fractions équivalentes</w:t>
            </w:r>
          </w:p>
        </w:tc>
        <w:tc>
          <w:tcPr>
            <w:tcW w:type="dxa" w:w="4320"/>
          </w:tcPr>
          <w:p>
            <w:r>
              <w:rPr>
                <w:rFonts w:ascii="Times New Roman" w:hAnsi="Times New Roman"/>
                <w:b w:val="0"/>
                <w:sz w:val="22"/>
              </w:rPr>
              <w:t>on multiplie (ou divise) le numérateur et le dénominateur par le même nombre</w:t>
            </w:r>
          </w:p>
        </w:tc>
      </w:tr>
      <w:tr>
        <w:tc>
          <w:tcPr>
            <w:tcW w:type="dxa" w:w="4320"/>
          </w:tcPr>
          <w:p>
            <w:r>
              <w:rPr>
                <w:rFonts w:ascii="Times New Roman" w:hAnsi="Times New Roman"/>
                <w:b w:val="0"/>
                <w:sz w:val="22"/>
              </w:rPr>
              <w:t>Décimaux</w:t>
            </w:r>
          </w:p>
        </w:tc>
        <w:tc>
          <w:tcPr>
            <w:tcW w:type="dxa" w:w="4320"/>
          </w:tcPr>
          <w:p>
            <w:r>
              <w:rPr>
                <w:rFonts w:ascii="Times New Roman" w:hAnsi="Times New Roman"/>
                <w:b w:val="0"/>
                <w:sz w:val="22"/>
              </w:rPr>
              <w:t>0,4 = 0,40 ; 4/10 = 0,4 ; 25/100 = 0,25</w:t>
            </w:r>
          </w:p>
        </w:tc>
      </w:tr>
      <w:tr>
        <w:tc>
          <w:tcPr>
            <w:tcW w:type="dxa" w:w="4320"/>
          </w:tcPr>
          <w:p>
            <w:r>
              <w:rPr>
                <w:rFonts w:ascii="Times New Roman" w:hAnsi="Times New Roman"/>
                <w:b w:val="0"/>
                <w:sz w:val="22"/>
              </w:rPr>
              <w:t>Preuve de la soustraction</w:t>
            </w:r>
          </w:p>
        </w:tc>
        <w:tc>
          <w:tcPr>
            <w:tcW w:type="dxa" w:w="4320"/>
          </w:tcPr>
          <w:p>
            <w:r>
              <w:rPr>
                <w:rFonts w:ascii="Times New Roman" w:hAnsi="Times New Roman"/>
                <w:b w:val="0"/>
                <w:sz w:val="22"/>
              </w:rPr>
              <w:t>différence + nombre retranché = nombre de départ</w:t>
            </w:r>
          </w:p>
        </w:tc>
      </w:tr>
      <w:tr>
        <w:tc>
          <w:tcPr>
            <w:tcW w:type="dxa" w:w="4320"/>
          </w:tcPr>
          <w:p>
            <w:r>
              <w:rPr>
                <w:rFonts w:ascii="Times New Roman" w:hAnsi="Times New Roman"/>
                <w:b w:val="0"/>
                <w:sz w:val="22"/>
              </w:rPr>
              <w:t>Preuve de la division</w:t>
            </w:r>
          </w:p>
        </w:tc>
        <w:tc>
          <w:tcPr>
            <w:tcW w:type="dxa" w:w="4320"/>
          </w:tcPr>
          <w:p>
            <w:r>
              <w:rPr>
                <w:rFonts w:ascii="Times New Roman" w:hAnsi="Times New Roman"/>
                <w:b w:val="0"/>
                <w:sz w:val="22"/>
              </w:rPr>
              <w:t>dividende = diviseur × quotient + reste, avec reste &lt; diviseur</w:t>
            </w:r>
          </w:p>
        </w:tc>
      </w:tr>
      <w:tr>
        <w:tc>
          <w:tcPr>
            <w:tcW w:type="dxa" w:w="4320"/>
          </w:tcPr>
          <w:p>
            <w:r>
              <w:rPr>
                <w:rFonts w:ascii="Times New Roman" w:hAnsi="Times New Roman"/>
                <w:b w:val="0"/>
                <w:sz w:val="22"/>
              </w:rPr>
              <w:t>Multiplier des fractions</w:t>
            </w:r>
          </w:p>
        </w:tc>
        <w:tc>
          <w:tcPr>
            <w:tcW w:type="dxa" w:w="4320"/>
          </w:tcPr>
          <w:p>
            <w:r>
              <w:rPr>
                <w:rFonts w:ascii="Times New Roman" w:hAnsi="Times New Roman"/>
                <w:b w:val="0"/>
                <w:sz w:val="22"/>
              </w:rPr>
              <w:t>numérateur × numérateur et dénominateur × dénominateur</w:t>
            </w:r>
          </w:p>
        </w:tc>
      </w:tr>
      <w:tr>
        <w:tc>
          <w:tcPr>
            <w:tcW w:type="dxa" w:w="4320"/>
          </w:tcPr>
          <w:p>
            <w:r>
              <w:rPr>
                <w:rFonts w:ascii="Times New Roman" w:hAnsi="Times New Roman"/>
                <w:b w:val="0"/>
                <w:sz w:val="22"/>
              </w:rPr>
              <w:t>Diviser par une fraction</w:t>
            </w:r>
          </w:p>
        </w:tc>
        <w:tc>
          <w:tcPr>
            <w:tcW w:type="dxa" w:w="4320"/>
          </w:tcPr>
          <w:p>
            <w:r>
              <w:rPr>
                <w:rFonts w:ascii="Times New Roman" w:hAnsi="Times New Roman"/>
                <w:b w:val="0"/>
                <w:sz w:val="22"/>
              </w:rPr>
              <w:t>diviser, c’est multiplier par la fraction renversée</w:t>
            </w:r>
          </w:p>
        </w:tc>
      </w:tr>
      <w:tr>
        <w:tc>
          <w:tcPr>
            <w:tcW w:type="dxa" w:w="4320"/>
          </w:tcPr>
          <w:p>
            <w:r>
              <w:rPr>
                <w:rFonts w:ascii="Times New Roman" w:hAnsi="Times New Roman"/>
                <w:b w:val="0"/>
                <w:sz w:val="22"/>
              </w:rPr>
              <w:t>Priorité des opérations</w:t>
            </w:r>
          </w:p>
        </w:tc>
        <w:tc>
          <w:tcPr>
            <w:tcW w:type="dxa" w:w="4320"/>
          </w:tcPr>
          <w:p>
            <w:r>
              <w:rPr>
                <w:rFonts w:ascii="Times New Roman" w:hAnsi="Times New Roman"/>
                <w:b w:val="0"/>
                <w:sz w:val="22"/>
              </w:rPr>
              <w:t>parenthèses d’abord ; puis × et ÷ ; puis + et − ; à priorité égale, de gauche à droite</w:t>
            </w:r>
          </w:p>
        </w:tc>
      </w:tr>
      <w:tr>
        <w:tc>
          <w:tcPr>
            <w:tcW w:type="dxa" w:w="4320"/>
          </w:tcPr>
          <w:p>
            <w:r>
              <w:rPr>
                <w:rFonts w:ascii="Times New Roman" w:hAnsi="Times New Roman"/>
                <w:b w:val="0"/>
                <w:sz w:val="22"/>
              </w:rPr>
              <w:t>Multiplier par 10, 100, 1 000</w:t>
            </w:r>
          </w:p>
        </w:tc>
        <w:tc>
          <w:tcPr>
            <w:tcW w:type="dxa" w:w="4320"/>
          </w:tcPr>
          <w:p>
            <w:r>
              <w:rPr>
                <w:rFonts w:ascii="Times New Roman" w:hAnsi="Times New Roman"/>
                <w:b w:val="0"/>
                <w:sz w:val="22"/>
              </w:rPr>
              <w:t>la virgule se déplace vers la droite de 1, 2 ou 3 rangs</w:t>
            </w:r>
          </w:p>
        </w:tc>
      </w:tr>
      <w:tr>
        <w:tc>
          <w:tcPr>
            <w:tcW w:type="dxa" w:w="4320"/>
          </w:tcPr>
          <w:p>
            <w:r>
              <w:rPr>
                <w:rFonts w:ascii="Times New Roman" w:hAnsi="Times New Roman"/>
                <w:b w:val="0"/>
                <w:sz w:val="22"/>
              </w:rPr>
              <w:t>Diviser par 10, 100, 1 000</w:t>
            </w:r>
          </w:p>
        </w:tc>
        <w:tc>
          <w:tcPr>
            <w:tcW w:type="dxa" w:w="4320"/>
          </w:tcPr>
          <w:p>
            <w:r>
              <w:rPr>
                <w:rFonts w:ascii="Times New Roman" w:hAnsi="Times New Roman"/>
                <w:b w:val="0"/>
                <w:sz w:val="22"/>
              </w:rPr>
              <w:t>la virgule se déplace vers la gauche de 1, 2 ou 3 rangs</w:t>
            </w:r>
          </w:p>
        </w:tc>
      </w:tr>
      <w:tr>
        <w:tc>
          <w:tcPr>
            <w:tcW w:type="dxa" w:w="4320"/>
          </w:tcPr>
          <w:p>
            <w:r>
              <w:rPr>
                <w:rFonts w:ascii="Times New Roman" w:hAnsi="Times New Roman"/>
                <w:b w:val="0"/>
                <w:sz w:val="22"/>
              </w:rPr>
              <w:t>Règle de trois</w:t>
            </w:r>
          </w:p>
        </w:tc>
        <w:tc>
          <w:tcPr>
            <w:tcW w:type="dxa" w:w="4320"/>
          </w:tcPr>
          <w:p>
            <w:r>
              <w:rPr>
                <w:rFonts w:ascii="Times New Roman" w:hAnsi="Times New Roman"/>
                <w:b w:val="0"/>
                <w:sz w:val="22"/>
              </w:rPr>
              <w:t>prix de 9 stylos connaissant 3 stylos à 700 Ar : (9 × 700) ÷ 3 = 2 100 Ar</w:t>
            </w:r>
          </w:p>
        </w:tc>
      </w:tr>
      <w:tr>
        <w:tc>
          <w:tcPr>
            <w:tcW w:type="dxa" w:w="4320"/>
          </w:tcPr>
          <w:p>
            <w:r>
              <w:rPr>
                <w:rFonts w:ascii="Times New Roman" w:hAnsi="Times New Roman"/>
                <w:b w:val="0"/>
                <w:sz w:val="22"/>
              </w:rPr>
              <w:t>Périmètre du carré</w:t>
            </w:r>
          </w:p>
        </w:tc>
        <w:tc>
          <w:tcPr>
            <w:tcW w:type="dxa" w:w="4320"/>
          </w:tcPr>
          <w:p>
            <w:r>
              <w:rPr>
                <w:rFonts w:ascii="Times New Roman" w:hAnsi="Times New Roman"/>
                <w:b w:val="0"/>
                <w:sz w:val="22"/>
              </w:rPr>
              <w:t>P = côté × 4</w:t>
            </w:r>
          </w:p>
        </w:tc>
      </w:tr>
      <w:tr>
        <w:tc>
          <w:tcPr>
            <w:tcW w:type="dxa" w:w="4320"/>
          </w:tcPr>
          <w:p>
            <w:r>
              <w:rPr>
                <w:rFonts w:ascii="Times New Roman" w:hAnsi="Times New Roman"/>
                <w:b w:val="0"/>
                <w:sz w:val="22"/>
              </w:rPr>
              <w:t>Périmètre du rectangle</w:t>
            </w:r>
          </w:p>
        </w:tc>
        <w:tc>
          <w:tcPr>
            <w:tcW w:type="dxa" w:w="4320"/>
          </w:tcPr>
          <w:p>
            <w:r>
              <w:rPr>
                <w:rFonts w:ascii="Times New Roman" w:hAnsi="Times New Roman"/>
                <w:b w:val="0"/>
                <w:sz w:val="22"/>
              </w:rPr>
              <w:t>P = (longueur + largeur) × 2</w:t>
            </w:r>
          </w:p>
        </w:tc>
      </w:tr>
      <w:tr>
        <w:tc>
          <w:tcPr>
            <w:tcW w:type="dxa" w:w="4320"/>
          </w:tcPr>
          <w:p>
            <w:r>
              <w:rPr>
                <w:rFonts w:ascii="Times New Roman" w:hAnsi="Times New Roman"/>
                <w:b w:val="0"/>
                <w:sz w:val="22"/>
              </w:rPr>
              <w:t>Circonférence du cercle</w:t>
            </w:r>
          </w:p>
        </w:tc>
        <w:tc>
          <w:tcPr>
            <w:tcW w:type="dxa" w:w="4320"/>
          </w:tcPr>
          <w:p>
            <w:r>
              <w:rPr>
                <w:rFonts w:ascii="Times New Roman" w:hAnsi="Times New Roman"/>
                <w:b w:val="0"/>
                <w:sz w:val="22"/>
              </w:rPr>
              <w:t>C = diamètre × 3,14</w:t>
            </w:r>
          </w:p>
        </w:tc>
      </w:tr>
      <w:tr>
        <w:tc>
          <w:tcPr>
            <w:tcW w:type="dxa" w:w="4320"/>
          </w:tcPr>
          <w:p>
            <w:r>
              <w:rPr>
                <w:rFonts w:ascii="Times New Roman" w:hAnsi="Times New Roman"/>
                <w:b w:val="0"/>
                <w:sz w:val="22"/>
              </w:rPr>
              <w:t>Aire du carré</w:t>
            </w:r>
          </w:p>
        </w:tc>
        <w:tc>
          <w:tcPr>
            <w:tcW w:type="dxa" w:w="4320"/>
          </w:tcPr>
          <w:p>
            <w:r>
              <w:rPr>
                <w:rFonts w:ascii="Times New Roman" w:hAnsi="Times New Roman"/>
                <w:b w:val="0"/>
                <w:sz w:val="22"/>
              </w:rPr>
              <w:t>A = côté × côté</w:t>
            </w:r>
          </w:p>
        </w:tc>
      </w:tr>
      <w:tr>
        <w:tc>
          <w:tcPr>
            <w:tcW w:type="dxa" w:w="4320"/>
          </w:tcPr>
          <w:p>
            <w:r>
              <w:rPr>
                <w:rFonts w:ascii="Times New Roman" w:hAnsi="Times New Roman"/>
                <w:b w:val="0"/>
                <w:sz w:val="22"/>
              </w:rPr>
              <w:t>Aire du rectangle</w:t>
            </w:r>
          </w:p>
        </w:tc>
        <w:tc>
          <w:tcPr>
            <w:tcW w:type="dxa" w:w="4320"/>
          </w:tcPr>
          <w:p>
            <w:r>
              <w:rPr>
                <w:rFonts w:ascii="Times New Roman" w:hAnsi="Times New Roman"/>
                <w:b w:val="0"/>
                <w:sz w:val="22"/>
              </w:rPr>
              <w:t>A = longueur × largeur</w:t>
            </w:r>
          </w:p>
        </w:tc>
      </w:tr>
      <w:tr>
        <w:tc>
          <w:tcPr>
            <w:tcW w:type="dxa" w:w="4320"/>
          </w:tcPr>
          <w:p>
            <w:r>
              <w:rPr>
                <w:rFonts w:ascii="Times New Roman" w:hAnsi="Times New Roman"/>
                <w:b w:val="0"/>
                <w:sz w:val="22"/>
              </w:rPr>
              <w:t>Aire du triangle</w:t>
            </w:r>
          </w:p>
        </w:tc>
        <w:tc>
          <w:tcPr>
            <w:tcW w:type="dxa" w:w="4320"/>
          </w:tcPr>
          <w:p>
            <w:r>
              <w:rPr>
                <w:rFonts w:ascii="Times New Roman" w:hAnsi="Times New Roman"/>
                <w:b w:val="0"/>
                <w:sz w:val="22"/>
              </w:rPr>
              <w:t>A = (base × hauteur) ÷ 2</w:t>
            </w:r>
          </w:p>
        </w:tc>
      </w:tr>
      <w:tr>
        <w:tc>
          <w:tcPr>
            <w:tcW w:type="dxa" w:w="4320"/>
          </w:tcPr>
          <w:p>
            <w:r>
              <w:rPr>
                <w:rFonts w:ascii="Times New Roman" w:hAnsi="Times New Roman"/>
                <w:b w:val="0"/>
                <w:sz w:val="22"/>
              </w:rPr>
              <w:t>Volume du cube et du pavé</w:t>
            </w:r>
          </w:p>
        </w:tc>
        <w:tc>
          <w:tcPr>
            <w:tcW w:type="dxa" w:w="4320"/>
          </w:tcPr>
          <w:p>
            <w:r>
              <w:rPr>
                <w:rFonts w:ascii="Times New Roman" w:hAnsi="Times New Roman"/>
                <w:b w:val="0"/>
                <w:sz w:val="22"/>
              </w:rPr>
              <w:t>on compte les cubes unités : longueur × largeur × hauteur (en cm³)</w:t>
            </w:r>
          </w:p>
        </w:tc>
      </w:tr>
      <w:tr>
        <w:tc>
          <w:tcPr>
            <w:tcW w:type="dxa" w:w="4320"/>
          </w:tcPr>
          <w:p>
            <w:r>
              <w:rPr>
                <w:rFonts w:ascii="Times New Roman" w:hAnsi="Times New Roman"/>
                <w:b w:val="0"/>
                <w:sz w:val="22"/>
              </w:rPr>
              <w:t>Unités de longueur</w:t>
            </w:r>
          </w:p>
        </w:tc>
        <w:tc>
          <w:tcPr>
            <w:tcW w:type="dxa" w:w="4320"/>
          </w:tcPr>
          <w:p>
            <w:r>
              <w:rPr>
                <w:rFonts w:ascii="Times New Roman" w:hAnsi="Times New Roman"/>
                <w:b w:val="0"/>
                <w:sz w:val="22"/>
              </w:rPr>
              <w:t>km, hm, dam, m, dm, cm, mm — chaque unité vaut 10 fois la suivante</w:t>
            </w:r>
          </w:p>
        </w:tc>
      </w:tr>
      <w:tr>
        <w:tc>
          <w:tcPr>
            <w:tcW w:type="dxa" w:w="4320"/>
          </w:tcPr>
          <w:p>
            <w:r>
              <w:rPr>
                <w:rFonts w:ascii="Times New Roman" w:hAnsi="Times New Roman"/>
                <w:b w:val="0"/>
                <w:sz w:val="22"/>
              </w:rPr>
              <w:t>Unités de masse</w:t>
            </w:r>
          </w:p>
        </w:tc>
        <w:tc>
          <w:tcPr>
            <w:tcW w:type="dxa" w:w="4320"/>
          </w:tcPr>
          <w:p>
            <w:r>
              <w:rPr>
                <w:rFonts w:ascii="Times New Roman" w:hAnsi="Times New Roman"/>
                <w:b w:val="0"/>
                <w:sz w:val="22"/>
              </w:rPr>
              <w:t>t, q, kg, hg, dag, g — 1 t = 1 000 kg ; 1 kg = 1 000 g</w:t>
            </w:r>
          </w:p>
        </w:tc>
      </w:tr>
      <w:tr>
        <w:tc>
          <w:tcPr>
            <w:tcW w:type="dxa" w:w="4320"/>
          </w:tcPr>
          <w:p>
            <w:r>
              <w:rPr>
                <w:rFonts w:ascii="Times New Roman" w:hAnsi="Times New Roman"/>
                <w:b w:val="0"/>
                <w:sz w:val="22"/>
              </w:rPr>
              <w:t>Unités de capacité</w:t>
            </w:r>
          </w:p>
        </w:tc>
        <w:tc>
          <w:tcPr>
            <w:tcW w:type="dxa" w:w="4320"/>
          </w:tcPr>
          <w:p>
            <w:r>
              <w:rPr>
                <w:rFonts w:ascii="Times New Roman" w:hAnsi="Times New Roman"/>
                <w:b w:val="0"/>
                <w:sz w:val="22"/>
              </w:rPr>
              <w:t>hL, daL, L, dL, cL, mL — 1 L = 100 cL = 1 000 mL ; 1 L d’eau pèse 1 kg</w:t>
            </w:r>
          </w:p>
        </w:tc>
      </w:tr>
      <w:tr>
        <w:tc>
          <w:tcPr>
            <w:tcW w:type="dxa" w:w="4320"/>
          </w:tcPr>
          <w:p>
            <w:r>
              <w:rPr>
                <w:rFonts w:ascii="Times New Roman" w:hAnsi="Times New Roman"/>
                <w:b w:val="0"/>
                <w:sz w:val="22"/>
              </w:rPr>
              <w:t>Mesure du temps</w:t>
            </w:r>
          </w:p>
        </w:tc>
        <w:tc>
          <w:tcPr>
            <w:tcW w:type="dxa" w:w="4320"/>
          </w:tcPr>
          <w:p>
            <w:r>
              <w:rPr>
                <w:rFonts w:ascii="Times New Roman" w:hAnsi="Times New Roman"/>
                <w:b w:val="0"/>
                <w:sz w:val="22"/>
              </w:rPr>
              <w:t>1 h = 60 min ; 1 min = 60 s ; 1 jour = 24 h ; 1 an = 12 mois ou 365 jours</w:t>
            </w:r>
          </w:p>
        </w:tc>
      </w:tr>
      <w:tr>
        <w:tc>
          <w:tcPr>
            <w:tcW w:type="dxa" w:w="4320"/>
          </w:tcPr>
          <w:p>
            <w:r>
              <w:rPr>
                <w:rFonts w:ascii="Times New Roman" w:hAnsi="Times New Roman"/>
                <w:b w:val="0"/>
                <w:sz w:val="22"/>
              </w:rPr>
              <w:t>Probabilité expérimentale</w:t>
            </w:r>
          </w:p>
        </w:tc>
        <w:tc>
          <w:tcPr>
            <w:tcW w:type="dxa" w:w="4320"/>
          </w:tcPr>
          <w:p>
            <w:r>
              <w:rPr>
                <w:rFonts w:ascii="Times New Roman" w:hAnsi="Times New Roman"/>
                <w:b w:val="0"/>
                <w:sz w:val="22"/>
              </w:rPr>
              <w:t>nombre de fois où l’événement se produit ÷ nombre total d’essais</w:t>
            </w:r>
          </w:p>
        </w:tc>
      </w:tr>
    </w:tbl>
    <w:p>
      <w:r>
        <w:br w:type="page"/>
      </w:r>
    </w:p>
    <w:p>
      <w:bookmarkStart w:id="5003" w:name="annexe3"/>
      <w:pPr>
        <w:jc w:val="center"/>
      </w:pPr>
      <w:r>
        <w:rPr>
          <w:rFonts w:ascii="Times New Roman" w:hAnsi="Times New Roman"/>
          <w:b/>
          <w:color w:val="C00000"/>
          <w:sz w:val="36"/>
        </w:rPr>
        <w:t>ANNEXE 3 — RÉSUMÉ DES MÉTHODES</w:t>
      </w:r>
      <w:bookmarkEnd w:id="5003"/>
    </w:p>
    <w:p>
      <w:r>
        <w:rPr>
          <w:rFonts w:ascii="Times New Roman" w:hAnsi="Times New Roman"/>
          <w:b/>
          <w:color w:val="1F4E79"/>
          <w:sz w:val="24"/>
        </w:rPr>
        <w:t xml:space="preserve">Lire un grand nombre — </w:t>
      </w:r>
      <w:r>
        <w:rPr>
          <w:rFonts w:ascii="Times New Roman" w:hAnsi="Times New Roman"/>
          <w:b w:val="0"/>
          <w:sz w:val="24"/>
        </w:rPr>
        <w:t>Séparer les classes par tranches de trois chiffres en partant de la droite, puis lire classe des mille puis classe des unités.</w:t>
      </w:r>
    </w:p>
    <w:p>
      <w:r>
        <w:rPr>
          <w:rFonts w:ascii="Times New Roman" w:hAnsi="Times New Roman"/>
          <w:b/>
          <w:color w:val="1F4E79"/>
          <w:sz w:val="24"/>
        </w:rPr>
        <w:t xml:space="preserve">Comparer deux nombres — </w:t>
      </w:r>
      <w:r>
        <w:rPr>
          <w:rFonts w:ascii="Times New Roman" w:hAnsi="Times New Roman"/>
          <w:b w:val="0"/>
          <w:sz w:val="24"/>
        </w:rPr>
        <w:t>Compter les chiffres : le plus long gagne ; à longueur égale, comparer chiffre par chiffre depuis la gauche.</w:t>
      </w:r>
    </w:p>
    <w:p>
      <w:r>
        <w:rPr>
          <w:rFonts w:ascii="Times New Roman" w:hAnsi="Times New Roman"/>
          <w:b/>
          <w:color w:val="1F4E79"/>
          <w:sz w:val="24"/>
        </w:rPr>
        <w:t xml:space="preserve">Trouver une fraction équivalente — </w:t>
      </w:r>
      <w:r>
        <w:rPr>
          <w:rFonts w:ascii="Times New Roman" w:hAnsi="Times New Roman"/>
          <w:b w:val="0"/>
          <w:sz w:val="24"/>
        </w:rPr>
        <w:t>Multiplier ou diviser le haut et le bas par le même nombre, et vérifier avec les bandes de fractions.</w:t>
      </w:r>
    </w:p>
    <w:p>
      <w:r>
        <w:rPr>
          <w:rFonts w:ascii="Times New Roman" w:hAnsi="Times New Roman"/>
          <w:b/>
          <w:color w:val="1F4E79"/>
          <w:sz w:val="24"/>
        </w:rPr>
        <w:t xml:space="preserve">Poser une addition ou une soustraction — </w:t>
      </w:r>
      <w:r>
        <w:rPr>
          <w:rFonts w:ascii="Times New Roman" w:hAnsi="Times New Roman"/>
          <w:b w:val="0"/>
          <w:sz w:val="24"/>
        </w:rPr>
        <w:t>Aligner les unités sous les unités, les dizaines sous les dizaines ; ne pas oublier la retenue ; vérifier par l’opération inverse.</w:t>
      </w:r>
    </w:p>
    <w:p>
      <w:r>
        <w:rPr>
          <w:rFonts w:ascii="Times New Roman" w:hAnsi="Times New Roman"/>
          <w:b/>
          <w:color w:val="1F4E79"/>
          <w:sz w:val="24"/>
        </w:rPr>
        <w:t xml:space="preserve">Poser une multiplication — </w:t>
      </w:r>
      <w:r>
        <w:rPr>
          <w:rFonts w:ascii="Times New Roman" w:hAnsi="Times New Roman"/>
          <w:b w:val="0"/>
          <w:sz w:val="24"/>
        </w:rPr>
        <w:t>Multiplier par les unités, puis par les dizaines en décalant d’un rang, et additionner les produits partiels.</w:t>
      </w:r>
    </w:p>
    <w:p>
      <w:r>
        <w:rPr>
          <w:rFonts w:ascii="Times New Roman" w:hAnsi="Times New Roman"/>
          <w:b/>
          <w:color w:val="1F4E79"/>
          <w:sz w:val="24"/>
        </w:rPr>
        <w:t xml:space="preserve">Poser une division — </w:t>
      </w:r>
      <w:r>
        <w:rPr>
          <w:rFonts w:ascii="Times New Roman" w:hAnsi="Times New Roman"/>
          <w:b w:val="0"/>
          <w:sz w:val="24"/>
        </w:rPr>
        <w:t>Prendre les chiffres du dividende un à un, chercher combien de fois le diviseur entre, écrire le reste ; contrôler : diviseur × quotient + reste = dividende.</w:t>
      </w:r>
    </w:p>
    <w:p>
      <w:r>
        <w:rPr>
          <w:rFonts w:ascii="Times New Roman" w:hAnsi="Times New Roman"/>
          <w:b/>
          <w:color w:val="1F4E79"/>
          <w:sz w:val="24"/>
        </w:rPr>
        <w:t xml:space="preserve">Respecter la priorité des opérations — </w:t>
      </w:r>
      <w:r>
        <w:rPr>
          <w:rFonts w:ascii="Times New Roman" w:hAnsi="Times New Roman"/>
          <w:b w:val="0"/>
          <w:sz w:val="24"/>
        </w:rPr>
        <w:t>Calculer d’abord dans les parenthèses, ensuite les × et ÷ de gauche à droite, enfin les + et −.</w:t>
      </w:r>
    </w:p>
    <w:p>
      <w:r>
        <w:rPr>
          <w:rFonts w:ascii="Times New Roman" w:hAnsi="Times New Roman"/>
          <w:b/>
          <w:color w:val="1F4E79"/>
          <w:sz w:val="24"/>
        </w:rPr>
        <w:t xml:space="preserve">Calculer mentalement — </w:t>
      </w:r>
      <w:r>
        <w:rPr>
          <w:rFonts w:ascii="Times New Roman" w:hAnsi="Times New Roman"/>
          <w:b w:val="0"/>
          <w:sz w:val="24"/>
        </w:rPr>
        <w:t>Décomposer les nombres, utiliser les doubles et les moitiés, compenser (ajouter d’un côté, retirer de l’autre).</w:t>
      </w:r>
    </w:p>
    <w:p>
      <w:r>
        <w:rPr>
          <w:rFonts w:ascii="Times New Roman" w:hAnsi="Times New Roman"/>
          <w:b/>
          <w:color w:val="1F4E79"/>
          <w:sz w:val="24"/>
        </w:rPr>
        <w:t xml:space="preserve">Continuer une suite — </w:t>
      </w:r>
      <w:r>
        <w:rPr>
          <w:rFonts w:ascii="Times New Roman" w:hAnsi="Times New Roman"/>
          <w:b w:val="0"/>
          <w:sz w:val="24"/>
        </w:rPr>
        <w:t>Observer la régularité (ce qui se répète ou ce qui augmente), décrire le motif, puis prolonger et vérifier.</w:t>
      </w:r>
    </w:p>
    <w:p>
      <w:r>
        <w:rPr>
          <w:rFonts w:ascii="Times New Roman" w:hAnsi="Times New Roman"/>
          <w:b/>
          <w:color w:val="1F4E79"/>
          <w:sz w:val="24"/>
        </w:rPr>
        <w:t xml:space="preserve">Utiliser la règle de trois — </w:t>
      </w:r>
      <w:r>
        <w:rPr>
          <w:rFonts w:ascii="Times New Roman" w:hAnsi="Times New Roman"/>
          <w:b w:val="0"/>
          <w:sz w:val="24"/>
        </w:rPr>
        <w:t>Trouver d’abord ce que valent les quantités connues, multiplier puis diviser : (9 × 700) ÷ 3 pour 9 stylos.</w:t>
      </w:r>
    </w:p>
    <w:p>
      <w:r>
        <w:rPr>
          <w:rFonts w:ascii="Times New Roman" w:hAnsi="Times New Roman"/>
          <w:b/>
          <w:color w:val="1F4E79"/>
          <w:sz w:val="24"/>
        </w:rPr>
        <w:t xml:space="preserve">Trouver une valeur inconnue — </w:t>
      </w:r>
      <w:r>
        <w:rPr>
          <w:rFonts w:ascii="Times New Roman" w:hAnsi="Times New Roman"/>
          <w:b w:val="0"/>
          <w:sz w:val="24"/>
        </w:rPr>
        <w:t>Essayer des valeurs l’une après l’autre (essais systématiques), puis vérifier l’égalité en remplaçant l’inconnue.</w:t>
      </w:r>
    </w:p>
    <w:p>
      <w:r>
        <w:rPr>
          <w:rFonts w:ascii="Times New Roman" w:hAnsi="Times New Roman"/>
          <w:b/>
          <w:color w:val="1F4E79"/>
          <w:sz w:val="24"/>
        </w:rPr>
        <w:t xml:space="preserve">Reconnaître un triangle — </w:t>
      </w:r>
      <w:r>
        <w:rPr>
          <w:rFonts w:ascii="Times New Roman" w:hAnsi="Times New Roman"/>
          <w:b w:val="0"/>
          <w:sz w:val="24"/>
        </w:rPr>
        <w:t>Mesurer les côtés (équilatéral, isocèle, scalène) et observer les angles (rectangle, aigu, obtus).</w:t>
      </w:r>
    </w:p>
    <w:p>
      <w:r>
        <w:rPr>
          <w:rFonts w:ascii="Times New Roman" w:hAnsi="Times New Roman"/>
          <w:b/>
          <w:color w:val="1F4E79"/>
          <w:sz w:val="24"/>
        </w:rPr>
        <w:t xml:space="preserve">Reproduire une figure — </w:t>
      </w:r>
      <w:r>
        <w:rPr>
          <w:rFonts w:ascii="Times New Roman" w:hAnsi="Times New Roman"/>
          <w:b w:val="0"/>
          <w:sz w:val="24"/>
        </w:rPr>
        <w:t>Repérer les sommets sur le quadrillage, compter les carreaux, tracer à la règle et vérifier avec l’équerre.</w:t>
      </w:r>
    </w:p>
    <w:p>
      <w:r>
        <w:rPr>
          <w:rFonts w:ascii="Times New Roman" w:hAnsi="Times New Roman"/>
          <w:b/>
          <w:color w:val="1F4E79"/>
          <w:sz w:val="24"/>
        </w:rPr>
        <w:t xml:space="preserve">Convertir une unité — </w:t>
      </w:r>
      <w:r>
        <w:rPr>
          <w:rFonts w:ascii="Times New Roman" w:hAnsi="Times New Roman"/>
          <w:b w:val="0"/>
          <w:sz w:val="24"/>
        </w:rPr>
        <w:t>Placer le nombre dans le tableau de conversion, un chiffre par colonne, puis déplacer la virgule vers la nouvelle unité.</w:t>
      </w:r>
    </w:p>
    <w:p>
      <w:r>
        <w:rPr>
          <w:rFonts w:ascii="Times New Roman" w:hAnsi="Times New Roman"/>
          <w:b/>
          <w:color w:val="1F4E79"/>
          <w:sz w:val="24"/>
        </w:rPr>
        <w:t xml:space="preserve">Calculer un périmètre ou une aire — </w:t>
      </w:r>
      <w:r>
        <w:rPr>
          <w:rFonts w:ascii="Times New Roman" w:hAnsi="Times New Roman"/>
          <w:b w:val="0"/>
          <w:sz w:val="24"/>
        </w:rPr>
        <w:t>Choisir la bonne formule, remplacer par les mesures dans la même unité, calculer, écrire l’unité du résultat (cm ou cm²).</w:t>
      </w:r>
    </w:p>
    <w:p>
      <w:r>
        <w:rPr>
          <w:rFonts w:ascii="Times New Roman" w:hAnsi="Times New Roman"/>
          <w:b/>
          <w:color w:val="1F4E79"/>
          <w:sz w:val="24"/>
        </w:rPr>
        <w:t xml:space="preserve">Résoudre un problème — </w:t>
      </w:r>
      <w:r>
        <w:rPr>
          <w:rFonts w:ascii="Times New Roman" w:hAnsi="Times New Roman"/>
          <w:b w:val="0"/>
          <w:sz w:val="24"/>
        </w:rPr>
        <w:t>Lire deux fois l’énoncé, repérer la question et les données, choisir les opérations, calculer, puis vérifier que la réponse a du sens.</w:t>
      </w:r>
    </w:p>
    <w:p>
      <w:r>
        <w:rPr>
          <w:rFonts w:ascii="Times New Roman" w:hAnsi="Times New Roman"/>
          <w:b/>
          <w:color w:val="1F4E79"/>
          <w:sz w:val="24"/>
        </w:rPr>
        <w:t xml:space="preserve">Mener une enquête — </w:t>
      </w:r>
      <w:r>
        <w:rPr>
          <w:rFonts w:ascii="Times New Roman" w:hAnsi="Times New Roman"/>
          <w:b w:val="0"/>
          <w:sz w:val="24"/>
        </w:rPr>
        <w:t>Poser une bonne question, recueillir les réponses, les compter dans un tableau des effectifs, puis les représenter en diagramme.</w:t>
      </w:r>
    </w:p>
    <w:p>
      <w:r>
        <w:rPr>
          <w:rFonts w:ascii="Times New Roman" w:hAnsi="Times New Roman"/>
          <w:b/>
          <w:color w:val="1F4E79"/>
          <w:sz w:val="24"/>
        </w:rPr>
        <w:t xml:space="preserve">Estimer une probabilité — </w:t>
      </w:r>
      <w:r>
        <w:rPr>
          <w:rFonts w:ascii="Times New Roman" w:hAnsi="Times New Roman"/>
          <w:b w:val="0"/>
          <w:sz w:val="24"/>
        </w:rPr>
        <w:t>Répéter l’expérience plusieurs fois, compter les résultats dans un tableau, puis former le rapport des cas favorables au total.</w:t>
      </w:r>
    </w:p>
    <w:p>
      <w:r>
        <w:br w:type="page"/>
      </w:r>
    </w:p>
    <w:p>
      <w:bookmarkStart w:id="5004" w:name="annexe4"/>
      <w:pPr>
        <w:jc w:val="center"/>
      </w:pPr>
      <w:r>
        <w:rPr>
          <w:rFonts w:ascii="Times New Roman" w:hAnsi="Times New Roman"/>
          <w:b/>
          <w:color w:val="C00000"/>
          <w:sz w:val="36"/>
        </w:rPr>
        <w:t>ANNEXE 4 — AUTO-ÉVALUATION</w:t>
      </w:r>
      <w:bookmarkEnd w:id="5004"/>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b/>
                <w:sz w:val="22"/>
              </w:rPr>
              <w:t>Compétence</w:t>
            </w:r>
          </w:p>
        </w:tc>
        <w:tc>
          <w:tcPr>
            <w:tcW w:type="dxa" w:w="2160"/>
          </w:tcPr>
          <w:p>
            <w:r>
              <w:rPr>
                <w:rFonts w:ascii="Times New Roman" w:hAnsi="Times New Roman"/>
                <w:b/>
                <w:sz w:val="22"/>
              </w:rPr>
              <w:t>Acquis</w:t>
            </w:r>
          </w:p>
        </w:tc>
        <w:tc>
          <w:tcPr>
            <w:tcW w:type="dxa" w:w="2160"/>
          </w:tcPr>
          <w:p>
            <w:r>
              <w:rPr>
                <w:rFonts w:ascii="Times New Roman" w:hAnsi="Times New Roman"/>
                <w:b/>
                <w:sz w:val="22"/>
              </w:rPr>
              <w:t>En cours</w:t>
            </w:r>
          </w:p>
        </w:tc>
        <w:tc>
          <w:tcPr>
            <w:tcW w:type="dxa" w:w="2160"/>
          </w:tcPr>
          <w:p>
            <w:r>
              <w:rPr>
                <w:rFonts w:ascii="Times New Roman" w:hAnsi="Times New Roman"/>
                <w:b/>
                <w:sz w:val="22"/>
              </w:rPr>
              <w:t>À revoir</w:t>
            </w:r>
          </w:p>
        </w:tc>
      </w:tr>
      <w:tr>
        <w:tc>
          <w:tcPr>
            <w:tcW w:type="dxa" w:w="2160"/>
          </w:tcPr>
          <w:p>
            <w:r>
              <w:rPr>
                <w:rFonts w:ascii="Times New Roman" w:hAnsi="Times New Roman"/>
                <w:b w:val="0"/>
                <w:sz w:val="20"/>
              </w:rPr>
              <w:t>Lire, écrire et comparer les nombres jusqu’à 1 000 000</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r>
        <w:tc>
          <w:tcPr>
            <w:tcW w:type="dxa" w:w="2160"/>
          </w:tcPr>
          <w:p>
            <w:r>
              <w:rPr>
                <w:rFonts w:ascii="Times New Roman" w:hAnsi="Times New Roman"/>
                <w:b w:val="0"/>
                <w:sz w:val="20"/>
              </w:rPr>
              <w:t>Décomposer et composer les grands nombres</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r>
        <w:tc>
          <w:tcPr>
            <w:tcW w:type="dxa" w:w="2160"/>
          </w:tcPr>
          <w:p>
            <w:r>
              <w:rPr>
                <w:rFonts w:ascii="Times New Roman" w:hAnsi="Times New Roman"/>
                <w:b w:val="0"/>
                <w:sz w:val="20"/>
              </w:rPr>
              <w:t>Fractions : représentation, équivalences, comparaison</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r>
        <w:tc>
          <w:tcPr>
            <w:tcW w:type="dxa" w:w="2160"/>
          </w:tcPr>
          <w:p>
            <w:r>
              <w:rPr>
                <w:rFonts w:ascii="Times New Roman" w:hAnsi="Times New Roman"/>
                <w:b w:val="0"/>
                <w:sz w:val="20"/>
              </w:rPr>
              <w:t>Fraction impropre et nombre fractionnaire</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r>
        <w:tc>
          <w:tcPr>
            <w:tcW w:type="dxa" w:w="2160"/>
          </w:tcPr>
          <w:p>
            <w:r>
              <w:rPr>
                <w:rFonts w:ascii="Times New Roman" w:hAnsi="Times New Roman"/>
                <w:b w:val="0"/>
                <w:sz w:val="20"/>
              </w:rPr>
              <w:t>Nombres décimaux jusqu’aux centièmes</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r>
        <w:tc>
          <w:tcPr>
            <w:tcW w:type="dxa" w:w="2160"/>
          </w:tcPr>
          <w:p>
            <w:r>
              <w:rPr>
                <w:rFonts w:ascii="Times New Roman" w:hAnsi="Times New Roman"/>
                <w:b w:val="0"/>
                <w:sz w:val="20"/>
              </w:rPr>
              <w:t>Fractions décimales et nombres décimaux</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r>
        <w:tc>
          <w:tcPr>
            <w:tcW w:type="dxa" w:w="2160"/>
          </w:tcPr>
          <w:p>
            <w:r>
              <w:rPr>
                <w:rFonts w:ascii="Times New Roman" w:hAnsi="Times New Roman"/>
                <w:b w:val="0"/>
                <w:sz w:val="20"/>
              </w:rPr>
              <w:t>Addition et soustraction jusqu’à 1 000 000</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r>
        <w:tc>
          <w:tcPr>
            <w:tcW w:type="dxa" w:w="2160"/>
          </w:tcPr>
          <w:p>
            <w:r>
              <w:rPr>
                <w:rFonts w:ascii="Times New Roman" w:hAnsi="Times New Roman"/>
                <w:b w:val="0"/>
                <w:sz w:val="20"/>
              </w:rPr>
              <w:t>Multiplication (3 chiffres × 2 chiffres)</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r>
        <w:tc>
          <w:tcPr>
            <w:tcW w:type="dxa" w:w="2160"/>
          </w:tcPr>
          <w:p>
            <w:r>
              <w:rPr>
                <w:rFonts w:ascii="Times New Roman" w:hAnsi="Times New Roman"/>
                <w:b w:val="0"/>
                <w:sz w:val="20"/>
              </w:rPr>
              <w:t>Division avec quotient et reste</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r>
        <w:tc>
          <w:tcPr>
            <w:tcW w:type="dxa" w:w="2160"/>
          </w:tcPr>
          <w:p>
            <w:r>
              <w:rPr>
                <w:rFonts w:ascii="Times New Roman" w:hAnsi="Times New Roman"/>
                <w:b w:val="0"/>
                <w:sz w:val="20"/>
              </w:rPr>
              <w:t>Multiplication et division de fractions</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r>
        <w:tc>
          <w:tcPr>
            <w:tcW w:type="dxa" w:w="2160"/>
          </w:tcPr>
          <w:p>
            <w:r>
              <w:rPr>
                <w:rFonts w:ascii="Times New Roman" w:hAnsi="Times New Roman"/>
                <w:b w:val="0"/>
                <w:sz w:val="20"/>
              </w:rPr>
              <w:t>Opérations sur les nombres décimaux</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r>
        <w:tc>
          <w:tcPr>
            <w:tcW w:type="dxa" w:w="2160"/>
          </w:tcPr>
          <w:p>
            <w:r>
              <w:rPr>
                <w:rFonts w:ascii="Times New Roman" w:hAnsi="Times New Roman"/>
                <w:b w:val="0"/>
                <w:sz w:val="20"/>
              </w:rPr>
              <w:t>Priorité des opérations</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r>
        <w:tc>
          <w:tcPr>
            <w:tcW w:type="dxa" w:w="2160"/>
          </w:tcPr>
          <w:p>
            <w:r>
              <w:rPr>
                <w:rFonts w:ascii="Times New Roman" w:hAnsi="Times New Roman"/>
                <w:b w:val="0"/>
                <w:sz w:val="20"/>
              </w:rPr>
              <w:t>Calcul mental : ×10, ×100, ×1 000, doubles, moitiés</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r>
        <w:tc>
          <w:tcPr>
            <w:tcW w:type="dxa" w:w="2160"/>
          </w:tcPr>
          <w:p>
            <w:r>
              <w:rPr>
                <w:rFonts w:ascii="Times New Roman" w:hAnsi="Times New Roman"/>
                <w:b w:val="0"/>
                <w:sz w:val="20"/>
              </w:rPr>
              <w:t>Suites, régularités, rang et terme</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r>
        <w:tc>
          <w:tcPr>
            <w:tcW w:type="dxa" w:w="2160"/>
          </w:tcPr>
          <w:p>
            <w:r>
              <w:rPr>
                <w:rFonts w:ascii="Times New Roman" w:hAnsi="Times New Roman"/>
                <w:b w:val="0"/>
                <w:sz w:val="20"/>
              </w:rPr>
              <w:t>Proportionnalité intuitive et règle de trois</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r>
        <w:tc>
          <w:tcPr>
            <w:tcW w:type="dxa" w:w="2160"/>
          </w:tcPr>
          <w:p>
            <w:r>
              <w:rPr>
                <w:rFonts w:ascii="Times New Roman" w:hAnsi="Times New Roman"/>
                <w:b w:val="0"/>
                <w:sz w:val="20"/>
              </w:rPr>
              <w:t>Égalités et valeurs inconnues</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r>
        <w:tc>
          <w:tcPr>
            <w:tcW w:type="dxa" w:w="2160"/>
          </w:tcPr>
          <w:p>
            <w:r>
              <w:rPr>
                <w:rFonts w:ascii="Times New Roman" w:hAnsi="Times New Roman"/>
                <w:b w:val="0"/>
                <w:sz w:val="20"/>
              </w:rPr>
              <w:t>Angles et classification des triangles</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r>
        <w:tc>
          <w:tcPr>
            <w:tcW w:type="dxa" w:w="2160"/>
          </w:tcPr>
          <w:p>
            <w:r>
              <w:rPr>
                <w:rFonts w:ascii="Times New Roman" w:hAnsi="Times New Roman"/>
                <w:b w:val="0"/>
                <w:sz w:val="20"/>
              </w:rPr>
              <w:t>Figures planes et outils de géométrie</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r>
        <w:tc>
          <w:tcPr>
            <w:tcW w:type="dxa" w:w="2160"/>
          </w:tcPr>
          <w:p>
            <w:r>
              <w:rPr>
                <w:rFonts w:ascii="Times New Roman" w:hAnsi="Times New Roman"/>
                <w:b w:val="0"/>
                <w:sz w:val="20"/>
              </w:rPr>
              <w:t>Composition et décomposition de polygones</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r>
        <w:tc>
          <w:tcPr>
            <w:tcW w:type="dxa" w:w="2160"/>
          </w:tcPr>
          <w:p>
            <w:r>
              <w:rPr>
                <w:rFonts w:ascii="Times New Roman" w:hAnsi="Times New Roman"/>
                <w:b w:val="0"/>
                <w:sz w:val="20"/>
              </w:rPr>
              <w:t>Longueur, masse, capacité : conversions</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r>
        <w:tc>
          <w:tcPr>
            <w:tcW w:type="dxa" w:w="2160"/>
          </w:tcPr>
          <w:p>
            <w:r>
              <w:rPr>
                <w:rFonts w:ascii="Times New Roman" w:hAnsi="Times New Roman"/>
                <w:b w:val="0"/>
                <w:sz w:val="20"/>
              </w:rPr>
              <w:t>Mesure du temps : conversions et opérations</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r>
        <w:tc>
          <w:tcPr>
            <w:tcW w:type="dxa" w:w="2160"/>
          </w:tcPr>
          <w:p>
            <w:r>
              <w:rPr>
                <w:rFonts w:ascii="Times New Roman" w:hAnsi="Times New Roman"/>
                <w:b w:val="0"/>
                <w:sz w:val="20"/>
              </w:rPr>
              <w:t>Périmètres, aires et volume intuitif</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r>
        <w:tc>
          <w:tcPr>
            <w:tcW w:type="dxa" w:w="2160"/>
          </w:tcPr>
          <w:p>
            <w:r>
              <w:rPr>
                <w:rFonts w:ascii="Times New Roman" w:hAnsi="Times New Roman"/>
                <w:b w:val="0"/>
                <w:sz w:val="20"/>
              </w:rPr>
              <w:t>Enquête, tableaux et diagrammes</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r>
        <w:tc>
          <w:tcPr>
            <w:tcW w:type="dxa" w:w="2160"/>
          </w:tcPr>
          <w:p>
            <w:r>
              <w:rPr>
                <w:rFonts w:ascii="Times New Roman" w:hAnsi="Times New Roman"/>
                <w:b w:val="0"/>
                <w:sz w:val="20"/>
              </w:rPr>
              <w:t>Probabilité expérimentale</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bl>
    <w:p>
      <w:r>
        <w:br w:type="page"/>
      </w:r>
    </w:p>
    <w:p>
      <w:bookmarkStart w:id="5005" w:name="annexe5"/>
      <w:pPr>
        <w:jc w:val="center"/>
      </w:pPr>
      <w:r>
        <w:rPr>
          <w:rFonts w:ascii="Times New Roman" w:hAnsi="Times New Roman"/>
          <w:b/>
          <w:color w:val="C00000"/>
          <w:sz w:val="36"/>
        </w:rPr>
        <w:t>ANNEXE 5 — INDEX</w:t>
      </w:r>
      <w:bookmarkEnd w:id="5005"/>
    </w:p>
    <w:p>
      <w:pPr>
        <w:jc w:val="both"/>
      </w:pPr>
      <w:r>
        <w:rPr>
          <w:rFonts w:ascii="Times New Roman" w:hAnsi="Times New Roman"/>
          <w:b w:val="0"/>
          <w:sz w:val="24"/>
        </w:rPr>
        <w:t>Aire, Angle aigu, Angle droit, Angle obtus, Capacité, Centième, Chiffre, Diagramme en barres, Dividende, Diviseur, Dixième, Effectif, Enquête, Essais systématiques, Fraction, Fraction décimale, Fraction impropre, Fractions équivalentes, Masse, Motif, Multiplicande, Multiplicateur, Nombre décimal, Nombre fractionnaire, Pictogramme, Polygone, Polygone régulier, Probabilité d’un événement, Périmètre, Quadrilatère, Quotient, Reste, Règle de trois, Suite, Tableau des effectifs, Taux unitaire, Terme, Triangle isocèle, Triangle rectangle, Triangle scalène, Triangle équilatéral, Valeur de position, Volume, Équation.</w:t>
      </w:r>
    </w:p>
    <w:p>
      <w:r>
        <w:br w:type="page"/>
      </w:r>
    </w:p>
    <w:p>
      <w:bookmarkStart w:id="5006" w:name="annexe6"/>
      <w:pPr>
        <w:jc w:val="center"/>
      </w:pPr>
      <w:r>
        <w:rPr>
          <w:rFonts w:ascii="Times New Roman" w:hAnsi="Times New Roman"/>
          <w:b/>
          <w:color w:val="C00000"/>
          <w:sz w:val="36"/>
        </w:rPr>
        <w:t>ANNEXE 6 — ÉVALUATIONS FORMAT CEPE</w:t>
      </w:r>
      <w:bookmarkEnd w:id="5006"/>
    </w:p>
    <w:p>
      <w:pPr>
        <w:jc w:val="both"/>
      </w:pPr>
      <w:r>
        <w:rPr>
          <w:rFonts w:ascii="Times New Roman" w:hAnsi="Times New Roman"/>
          <w:b w:val="0"/>
          <w:sz w:val="24"/>
        </w:rPr>
        <w:t>Six sujets d’examen sur 20 points figurent à la fin des unités Nombre, Opération, Algèbre, Géométrie, Mesure et Traitement de données. Chaque sujet comporte cinq exercices avec corrigé détaillé et barème, dans l’esprit des épreuves de calcul du CEPE : opérations posées, conversions et problème de la vie courante.</w:t>
      </w:r>
    </w:p>
    <w:p>
      <w:r>
        <w:br w:type="page"/>
      </w:r>
    </w:p>
    <w:p>
      <w:bookmarkStart w:id="5007" w:name="sources"/>
      <w:pPr>
        <w:jc w:val="center"/>
      </w:pPr>
      <w:r>
        <w:rPr>
          <w:rFonts w:ascii="Times New Roman" w:hAnsi="Times New Roman"/>
          <w:b/>
          <w:color w:val="C00000"/>
          <w:sz w:val="36"/>
        </w:rPr>
        <w:t>BIBLIOGRAPHIE ET WEBOGRAPHIE</w:t>
      </w:r>
      <w:bookmarkEnd w:id="5007"/>
    </w:p>
    <w:p>
      <w:pPr>
        <w:jc w:val="both"/>
      </w:pPr>
      <w:r>
        <w:rPr>
          <w:rFonts w:ascii="Times New Roman" w:hAnsi="Times New Roman"/>
          <w:b w:val="0"/>
          <w:sz w:val="24"/>
        </w:rPr>
        <w:t>Ministère de l’Éducation Nationale de Madagascar, Programme d’études — Classe de T5, section Mathématiques (PE T5).</w:t>
      </w:r>
    </w:p>
    <w:p>
      <w:pPr>
        <w:jc w:val="both"/>
      </w:pPr>
      <w:r>
        <w:rPr>
          <w:rFonts w:ascii="Times New Roman" w:hAnsi="Times New Roman"/>
          <w:b w:val="0"/>
          <w:sz w:val="24"/>
        </w:rPr>
        <w:t>Sujets d’examen du CEPE, épreuve de calcul, sessions antérieures, Madagascar.</w:t>
      </w:r>
    </w:p>
    <w:p>
      <w:pPr>
        <w:jc w:val="both"/>
      </w:pPr>
      <w:r>
        <w:rPr>
          <w:rFonts w:ascii="Times New Roman" w:hAnsi="Times New Roman"/>
          <w:b w:val="0"/>
          <w:sz w:val="24"/>
        </w:rPr>
        <w:t>Collection J-Learn, Manuels de Mathématiques T6, T7, T8 et T9, J-Lab Madagascar, édition 2026.</w:t>
      </w:r>
    </w:p>
    <w:p>
      <w:pPr>
        <w:jc w:val="both"/>
      </w:pPr>
      <w:r>
        <w:rPr>
          <w:rFonts w:ascii="Times New Roman" w:hAnsi="Times New Roman"/>
          <w:b w:val="0"/>
          <w:sz w:val="24"/>
        </w:rPr>
        <w:t>Collection J-Learn, charte de conception des manuels scolaires, version 18.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