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T5</w:t>
      </w:r>
      <w:bookmarkEnd w:id="1"/>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2"/>
      <w:r>
        <w:rPr>
          <w:rFonts w:ascii="Times New Roman" w:cs="Times New Roman" w:eastAsia="Times New Roman" w:hAnsi="Times New Roman"/>
          <w:b/>
          <w:bCs/>
          <w:i w:val="false"/>
          <w:iCs w:val="false"/>
          <w:color w:val="C00000"/>
          <w:sz w:val="32"/>
          <w:szCs w:val="32"/>
        </w:rPr>
        <w:t xml:space="preserve">AVANT-PROPOS</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des exercices et un corrigé détaillé. Les situations mobilisent des repères familiers de Madagascar tout en développant la rigueur et la confiance en soi, valeurs portées par le programme.</w:t>
      </w:r>
    </w:p>
    <w:p>
      <w:pPr>
        <w:spacing w:after="150" w:before="200"/>
        <w:jc w:val="center"/>
      </w:pPr>
      <w:bookmarkStart w:name="mode" w:id="3"/>
      <w:r>
        <w:rPr>
          <w:rFonts w:ascii="Times New Roman" w:cs="Times New Roman" w:eastAsia="Times New Roman" w:hAnsi="Times New Roman"/>
          <w:b/>
          <w:bCs/>
          <w:i w:val="false"/>
          <w:iCs w:val="false"/>
          <w:color w:val="C00000"/>
          <w:sz w:val="32"/>
          <w:szCs w:val="32"/>
        </w:rPr>
        <w:t xml:space="preserve">MODE D’EMPLOI</w:t>
      </w:r>
      <w:bookmarkEnd w:id="3"/>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4"/>
      <w:r>
        <w:rPr>
          <w:rFonts w:ascii="Times New Roman" w:cs="Times New Roman" w:eastAsia="Times New Roman" w:hAnsi="Times New Roman"/>
          <w:b/>
          <w:bCs/>
          <w:i w:val="false"/>
          <w:iCs w:val="false"/>
          <w:color w:val="C00000"/>
          <w:sz w:val="32"/>
          <w:szCs w:val="32"/>
        </w:rPr>
        <w:t xml:space="preserve">SOMMAIRE INTERACTIF</w:t>
      </w:r>
      <w:bookmarkEnd w:id="4"/>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r>
        <w:br w:type="page"/>
      </w:r>
    </w:p>
    <w:p>
      <w:pPr>
        <w:spacing w:after="150" w:before="200"/>
        <w:jc w:val="center"/>
      </w:pPr>
      <w:bookmarkStart w:name="u1" w:id="5"/>
      <w:r>
        <w:rPr>
          <w:rFonts w:ascii="Times New Roman" w:cs="Times New Roman" w:eastAsia="Times New Roman" w:hAnsi="Times New Roman"/>
          <w:b/>
          <w:bCs/>
          <w:i w:val="false"/>
          <w:iCs w:val="false"/>
          <w:color w:val="C00000"/>
          <w:sz w:val="32"/>
          <w:szCs w:val="32"/>
        </w:rPr>
        <w:t xml:space="preserve">UNITÉ I — NOMBRE</w:t>
      </w:r>
      <w:bookmarkEnd w:id="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des nombres naturels jusqu’à 1 000 000, des fractions simples et des nombres décimaux jusqu’aux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persévérance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6"/>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Dans 348 256, la tranche de gauche se lit « trois cent quarante-huit » suivie du mot « mille », puis la tranche de droite se lit « deux cent cinquante-six ». L’espace entre les tranches n’est pas une décoration : il montre la frontière des classes et rend la lecture immédiate. Pour écrire en lettres, on suit exactement la lecture : trois cent quarante-huit mille deux cent cinquante-six. Pour écrire en chiffres un nombre dicté, on écrit d’abord la classe des mille, puis TROIS chiffres pour la classe des unités — quitte à compléter avec des zéros : « quarante mille sept » s’écrit 40 007, et non 407.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Dans 348 256, la tranche de gauche se lit « trois cent quarante-huit » suivie du mot « mille », puis la tranche de droite se lit « deux cent cinquante-six ». L’espace entre les tranches n’est pas une décoration : il montre la frontière des classes et rend la lecture immédiate. Pour écrire en lettres, on suit exactement la lecture : trois cent quarante-huit mille deux cent cinquante-six. Pour écrire en chiffres un nombre dicté, on écrit d’abord la classe des mille, puis TROIS chiffres pour la classe des unités — quitte à compléter avec des zéros : « quarante mille sept » s’écrit 40 007, et non 407.</w:t>
      </w:r>
    </w:p>
    <w:p>
      <w:pPr>
        <w:spacing w:after="120" w:before="120"/>
        <w:jc w:val="center"/>
      </w:pPr>
      <w:r>
        <w:drawing>
          <wp:inline distT="0" distB="0" distL="0" distR="0">
            <wp:extent cx="4762500" cy="18288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Séparer le nombre en tranches de trois chiffres en partant de la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Lire la tranche de gauche puis dire « mille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r>
        <w:br w:type="page"/>
      </w:r>
    </w:p>
    <w:p>
      <w:pPr>
        <w:spacing w:after="150" w:before="200"/>
        <w:jc w:val="center"/>
      </w:pPr>
      <w:bookmarkStart w:name="u1_l2" w:id="7"/>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8002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un chiffre par colonne, en partant de la droite.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Repérer la colonne du chiffre étudié.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r>
        <w:br w:type="page"/>
      </w:r>
    </w:p>
    <w:p>
      <w:pPr>
        <w:spacing w:after="150" w:before="200"/>
        <w:jc w:val="center"/>
      </w:pPr>
      <w:bookmarkStart w:name="u1_l3" w:id="8"/>
      <w:r>
        <w:rPr>
          <w:rFonts w:ascii="Times New Roman" w:cs="Times New Roman" w:eastAsia="Times New Roman" w:hAnsi="Times New Roman"/>
          <w:b/>
          <w:bCs/>
          <w:i w:val="false"/>
          <w:iCs w:val="false"/>
          <w:color w:val="C00000"/>
          <w:sz w:val="32"/>
          <w:szCs w:val="32"/>
        </w:rPr>
        <w:t xml:space="preserve">SÉANCE 3 / 14 — COMPARER ET ORDONNER AVEC &gt;, &lt; ET =</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8573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Compter les chiffres des deux nombres.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À longueur égale, comparer les chiffres de gauche à droite jusqu’à la première différence.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r>
        <w:br w:type="page"/>
      </w:r>
    </w:p>
    <w:p>
      <w:pPr>
        <w:spacing w:after="150" w:before="200"/>
        <w:jc w:val="center"/>
      </w:pPr>
      <w:bookmarkStart w:name="u1_l4" w:id="9"/>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0097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le groupement (10 000, 25 000 ou 50 000).</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Chercher combien de paquets entrent dans le nombre.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r>
        <w:br w:type="page"/>
      </w:r>
    </w:p>
    <w:p>
      <w:pPr>
        <w:spacing w:after="150" w:before="200"/>
        <w:jc w:val="center"/>
      </w:pPr>
      <w:bookmarkStart w:name="u1_l5" w:id="10"/>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81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9812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Placer le nombre dans le tableau de numération.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la valeur de chaque chiffre non nul et les additionner.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r>
        <w:br w:type="page"/>
      </w:r>
    </w:p>
    <w:p>
      <w:pPr>
        <w:spacing w:after="150" w:before="200"/>
        <w:jc w:val="center"/>
      </w:pPr>
      <w:bookmarkStart w:name="u1_l6" w:id="11"/>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1676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que l’unité est partagée en parts égales.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parts du découpage : c’est le dénominateur.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r>
        <w:br w:type="page"/>
      </w:r>
    </w:p>
    <w:p>
      <w:pPr>
        <w:spacing w:after="150" w:before="200"/>
        <w:jc w:val="center"/>
      </w:pPr>
      <w:bookmarkStart w:name="u1_l7" w:id="12"/>
      <w:r>
        <w:rPr>
          <w:rFonts w:ascii="Times New Roman" w:cs="Times New Roman" w:eastAsia="Times New Roman" w:hAnsi="Times New Roman"/>
          <w:b/>
          <w:bCs/>
          <w:i w:val="false"/>
          <w:iCs w:val="false"/>
          <w:color w:val="C00000"/>
          <w:sz w:val="32"/>
          <w:szCs w:val="32"/>
        </w:rPr>
        <w:t xml:space="preserve">SÉANCE 7 / 14 — LES FRACTIONS ÉQUIVALENTES</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085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Poser la fraction de départ.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Choisir le multiplicateur (ou le diviseur) commun.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r>
        <w:br w:type="page"/>
      </w:r>
    </w:p>
    <w:p>
      <w:pPr>
        <w:spacing w:after="150" w:before="200"/>
        <w:jc w:val="center"/>
      </w:pPr>
      <w:bookmarkStart w:name="u1_l8" w:id="13"/>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14859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Partager le segment unité selon le dénominateur.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Avancer du nombre de parts donné par le numérateur et marquer le point.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1_l9" w:id="14"/>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16764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Chercher combien de fois le dénominateur entre dans le numérateur : c’est l’entier.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Écrire le reste sur le dénominateur : c’est la fraction restante.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r>
        <w:br w:type="page"/>
      </w:r>
    </w:p>
    <w:p>
      <w:pPr>
        <w:spacing w:after="150" w:before="200"/>
        <w:jc w:val="center"/>
      </w:pPr>
      <w:bookmarkStart w:name="u1_l10" w:id="15"/>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762500" cy="24193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la virgule : à gauche la partie entière, à droite la partie décimale.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Nommer chaque rang : dixièmes puis centièmes.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r>
        <w:br w:type="page"/>
      </w:r>
    </w:p>
    <w:p>
      <w:pPr>
        <w:spacing w:after="150" w:before="200"/>
        <w:jc w:val="center"/>
      </w:pPr>
      <w:bookmarkStart w:name="u1_l11" w:id="16"/>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669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4669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Comparer les parties entières.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Compléter les parties décimales avec des zéros pour qu’elles aient la même longueur.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r>
        <w:br w:type="page"/>
      </w:r>
    </w:p>
    <w:p>
      <w:pPr>
        <w:spacing w:after="150" w:before="200"/>
        <w:jc w:val="center"/>
      </w:pPr>
      <w:bookmarkStart w:name="u1_l12" w:id="17"/>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241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0" cy="23241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Fraction → décimal : diviser le numérateur par 10 ou 100 en décalant la virgule.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Décimal → fraction : lire le nombre (« … dixièmes » ou « … centièmes ») et écrire la fraction entendue.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r>
        <w:br w:type="page"/>
      </w:r>
    </w:p>
    <w:p>
      <w:pPr>
        <w:spacing w:after="150" w:before="200"/>
        <w:jc w:val="center"/>
      </w:pPr>
      <w:bookmarkStart w:name="u1_l13" w:id="18"/>
      <w:r>
        <w:rPr>
          <w:rFonts w:ascii="Times New Roman" w:cs="Times New Roman" w:eastAsia="Times New Roman" w:hAnsi="Times New Roman"/>
          <w:b/>
          <w:bCs/>
          <w:i w:val="false"/>
          <w:iCs w:val="false"/>
          <w:color w:val="C00000"/>
          <w:sz w:val="32"/>
          <w:szCs w:val="32"/>
        </w:rPr>
        <w:t xml:space="preserve">SÉANCE 13 / 14 — RÉVISION DE L’UNITÉ I</w:t>
      </w:r>
      <w:bookmarkEnd w:id="1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9"/>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badcbf389d322221ba3d30c88539a33fc8204b4d.png"/><Relationship Id="rId12" Type="http://schemas.openxmlformats.org/officeDocument/2006/relationships/image" Target="media/6d7a5ce9ececb94b08bfc77f2dbeecbe479b9cfc.jpg"/><Relationship Id="rId13" Type="http://schemas.openxmlformats.org/officeDocument/2006/relationships/image" Target="media/821f296f13b78dedfcd4664d17578cdfe632f296.png"/><Relationship Id="rId14" Type="http://schemas.openxmlformats.org/officeDocument/2006/relationships/image" Target="media/e5922dc70e3429c124f2a2faa424f092fdfe159d.jpg"/><Relationship Id="rId15" Type="http://schemas.openxmlformats.org/officeDocument/2006/relationships/image" Target="media/5307068561f747516f317111b8a08d2d0ad13d48.png"/><Relationship Id="rId16" Type="http://schemas.openxmlformats.org/officeDocument/2006/relationships/image" Target="media/4187c0c862b8cf5ca167d0b2bd4e8e5c333f2af2.jpg"/><Relationship Id="rId17" Type="http://schemas.openxmlformats.org/officeDocument/2006/relationships/image" Target="media/313a7eaaec2ad722af73e654b2b8602d3279fc64.png"/><Relationship Id="rId18" Type="http://schemas.openxmlformats.org/officeDocument/2006/relationships/image" Target="media/2ecbac0cf31bfb572618b57440fbf761ad8e9174.jpg"/><Relationship Id="rId19" Type="http://schemas.openxmlformats.org/officeDocument/2006/relationships/image" Target="media/53084d2444fc60da66c947c27e8778403b3a3d39.png"/><Relationship Id="rId20" Type="http://schemas.openxmlformats.org/officeDocument/2006/relationships/image" Target="media/8eab3b39574f152f7c22d30eb943ba20861f7af3.jpg"/><Relationship Id="rId21" Type="http://schemas.openxmlformats.org/officeDocument/2006/relationships/image" Target="media/fce1633a7af57db6866be07a7a299e848411ace4.png"/><Relationship Id="rId22" Type="http://schemas.openxmlformats.org/officeDocument/2006/relationships/image" Target="media/8a6a745e2a98ed28970676742e67a712ac1d3dd7.jpg"/><Relationship Id="rId23" Type="http://schemas.openxmlformats.org/officeDocument/2006/relationships/image" Target="media/fc1514cf245f339e2409e4ed0d264ec13a9ba3c9.png"/><Relationship Id="rId24" Type="http://schemas.openxmlformats.org/officeDocument/2006/relationships/image" Target="media/a17079a37b05f14ac344d5343a368a2dc9e2f89a.jpg"/><Relationship Id="rId25" Type="http://schemas.openxmlformats.org/officeDocument/2006/relationships/image" Target="media/80d08d90788d963169feadd9bfca54715ef3df20.png"/><Relationship Id="rId26" Type="http://schemas.openxmlformats.org/officeDocument/2006/relationships/image" Target="media/e533255bd971a1be804ecdac6a0f6e275d380b53.jpg"/><Relationship Id="rId27" Type="http://schemas.openxmlformats.org/officeDocument/2006/relationships/image" Target="media/e8684956d4e13e32f165741abbeb541bc36865ec.png"/><Relationship Id="rId28" Type="http://schemas.openxmlformats.org/officeDocument/2006/relationships/image" Target="media/eddb630c51850319fb03fda44a5824e93720aa47.jpg"/><Relationship Id="rId29" Type="http://schemas.openxmlformats.org/officeDocument/2006/relationships/image" Target="media/b427f8d8be8d5a1d6c3ccdb54f4024543f214a79.png"/><Relationship Id="rId30" Type="http://schemas.openxmlformats.org/officeDocument/2006/relationships/image" Target="media/bef6d27418d29b6f707fc752baaf9d33f5b0621d.jpg"/><Relationship Id="rId31" Type="http://schemas.openxmlformats.org/officeDocument/2006/relationships/image" Target="media/a27212ada0d1683f036527ba9da99dafb8ad109b.png"/><Relationship Id="rId32" Type="http://schemas.openxmlformats.org/officeDocument/2006/relationships/image" Target="media/45ffa36c330a1e2021b5a812258d798ff42c629a.jpg"/><Relationship Id="rId33" Type="http://schemas.openxmlformats.org/officeDocument/2006/relationships/image" Target="media/2221bf77410a905f719d9379f3d10e1921ce468c.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2026-10-06T14:10:00.525Z</dcterms:created>
  <dcterms:modified xsi:type="dcterms:W3CDTF">2026-10-06T14:10:00.525Z</dcterms:modified>
</cp:coreProperties>
</file>

<file path=docProps/custom.xml><?xml version="1.0" encoding="utf-8"?>
<Properties xmlns="http://schemas.openxmlformats.org/officeDocument/2006/custom-properties" xmlns:vt="http://schemas.openxmlformats.org/officeDocument/2006/docPropsVTypes"/>
</file>