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00"/>
      </w:pPr>
      <w:r>
        <w:rPr>
          <w:b/>
          <w:i w:val="0"/>
          <w:color w:val="C00000"/>
          <w:sz w:val="34"/>
        </w:rPr>
        <w:t>Note de synthèse — écarts assumés du manuel SVT T9</w:t>
      </w:r>
    </w:p>
    <w:p>
      <w:pPr>
        <w:spacing w:after="80"/>
      </w:pPr>
      <w:r>
        <w:rPr>
          <w:b/>
          <w:i w:val="0"/>
        </w:rPr>
        <w:t>Objet</w:t>
      </w:r>
      <w:r>
        <w:rPr>
          <w:b w:val="0"/>
          <w:i w:val="0"/>
        </w:rPr>
        <w:t xml:space="preserve"> : recenser, en un seul document, tous les points sur lesquels le manuel réécrit s'écarte de ses sources officielles — le Programme d'Études (PE) et, pour le MEN/DDIS, son Fascicule de Ressources Pédagogiques (FRP).</w:t>
      </w:r>
    </w:p>
    <w:p>
      <w:pPr>
        <w:spacing w:after="80"/>
      </w:pPr>
      <w:r>
        <w:rPr>
          <w:b/>
          <w:i w:val="0"/>
        </w:rPr>
        <w:t>Destinataire</w:t>
      </w:r>
      <w:r>
        <w:rPr>
          <w:b w:val="0"/>
          <w:i w:val="0"/>
        </w:rPr>
        <w:t xml:space="preserve"> : validateur pédagogique, inspecteur, enseignant utilisateur.</w:t>
      </w:r>
    </w:p>
    <w:p>
      <w:pPr>
        <w:spacing w:after="80"/>
      </w:pPr>
      <w:r>
        <w:rPr>
          <w:b/>
          <w:i w:val="0"/>
        </w:rPr>
        <w:t>Document concerné</w:t>
      </w:r>
      <w:r>
        <w:rPr>
          <w:b w:val="0"/>
          <w:i w:val="0"/>
        </w:rPr>
        <w:t xml:space="preserve"> : </w:t>
      </w:r>
      <w:r>
        <w:rPr>
          <w:rFonts w:ascii="Consolas" w:hAnsi="Consolas"/>
          <w:b w:val="0"/>
          <w:i w:val="0"/>
          <w:sz w:val="18"/>
        </w:rPr>
        <w:t>Manuel-SVT-T9-complet.md</w:t>
      </w:r>
      <w:r>
        <w:rPr>
          <w:b w:val="0"/>
          <w:i w:val="0"/>
        </w:rPr>
        <w:t xml:space="preserve"> / </w:t>
      </w:r>
      <w:r>
        <w:rPr>
          <w:rFonts w:ascii="Consolas" w:hAnsi="Consolas"/>
          <w:b w:val="0"/>
          <w:i w:val="0"/>
          <w:sz w:val="18"/>
        </w:rPr>
        <w:t>.docx</w:t>
      </w:r>
      <w:r>
        <w:rPr>
          <w:b w:val="0"/>
          <w:i w:val="0"/>
        </w:rPr>
        <w:t xml:space="preserve"> — 51 séances.</w:t>
      </w:r>
    </w:p>
    <w:p>
      <w:pPr>
        <w:spacing w:after="80"/>
      </w:pPr>
      <w:r>
        <w:rPr>
          <w:b/>
          <w:i w:val="0"/>
        </w:rPr>
        <w:t>Statut</w:t>
      </w:r>
      <w:r>
        <w:rPr>
          <w:b w:val="0"/>
          <w:i w:val="0"/>
        </w:rPr>
        <w:t xml:space="preserve"> : le manuel d'origine </w:t>
      </w:r>
      <w:r>
        <w:rPr>
          <w:rFonts w:ascii="Consolas" w:hAnsi="Consolas"/>
          <w:b w:val="0"/>
          <w:i w:val="0"/>
          <w:sz w:val="18"/>
        </w:rPr>
        <w:t>SVT T9 [PE] Fiche de preparation sujet corrigés J-Learn (1).docx</w:t>
      </w:r>
      <w:r>
        <w:rPr>
          <w:b w:val="0"/>
          <w:i w:val="0"/>
        </w:rPr>
        <w:t xml:space="preserve"> </w:t>
      </w:r>
      <w:r>
        <w:rPr>
          <w:b/>
          <w:i w:val="0"/>
        </w:rPr>
        <w:t>n'a pas été modifié</w:t>
      </w:r>
      <w:r>
        <w:rPr>
          <w:b w:val="0"/>
          <w:i w:val="0"/>
        </w:rPr>
        <w:t>.</w:t>
      </w:r>
    </w:p>
    <w:p>
      <w:r>
        <w:br w:type="page"/>
      </w:r>
    </w:p>
    <w:p>
      <w:pPr>
        <w:pStyle w:val="Heading2"/>
        <w:spacing w:before="200" w:after="100"/>
      </w:pPr>
      <w:r>
        <w:rPr>
          <w:b/>
          <w:i w:val="0"/>
          <w:color w:val="C00000"/>
          <w:sz w:val="28"/>
        </w:rPr>
        <w:t>Pourquoi cette note existe</w:t>
      </w:r>
    </w:p>
    <w:p>
      <w:pPr>
        <w:spacing w:after="80"/>
      </w:pPr>
      <w:r>
        <w:rPr>
          <w:b w:val="0"/>
          <w:i w:val="0"/>
        </w:rPr>
        <w:t xml:space="preserve">Un manuel scolaire qui s'écarte de la ressource officielle du Ministère doit pouvoir le justifier, point par point, devant un validateur. Ce document rassemble les </w:t>
      </w:r>
      <w:r>
        <w:rPr>
          <w:b/>
          <w:i w:val="0"/>
        </w:rPr>
        <w:t>36 écarts</w:t>
      </w:r>
      <w:r>
        <w:rPr>
          <w:b w:val="0"/>
          <w:i w:val="0"/>
        </w:rPr>
        <w:t xml:space="preserve"> dispersés dans les sept fichiers de travail, les classe par gravité, et donne pour chacun le motif et la décision retenue.</w:t>
      </w:r>
    </w:p>
    <w:p>
      <w:pPr>
        <w:spacing w:after="80"/>
      </w:pPr>
      <w:r>
        <w:rPr>
          <w:b w:val="0"/>
          <w:i w:val="0"/>
        </w:rPr>
        <w:t xml:space="preserve">Le principe appliqué est simple : </w:t>
      </w:r>
      <w:r>
        <w:rPr>
          <w:b/>
          <w:i w:val="0"/>
        </w:rPr>
        <w:t>le PE fixe le programme, le FRP est une ressource</w:t>
      </w:r>
      <w:r>
        <w:rPr>
          <w:b w:val="0"/>
          <w:i w:val="0"/>
        </w:rPr>
        <w:t>. Lorsqu'une ressource contredit un fait scientifique vérifiable, c'est le fait qui l'emporte, et l'écart est signalé plutôt que dissimulé.</w:t>
      </w:r>
    </w:p>
    <w:p>
      <w:pPr>
        <w:spacing w:after="80"/>
      </w:pPr>
      <w:r>
        <w:rPr>
          <w:b w:val="0"/>
          <w:i w:val="0"/>
        </w:rPr>
        <w:t xml:space="preserve">Trois écarts portent sur des </w:t>
      </w:r>
      <w:r>
        <w:rPr>
          <w:b/>
          <w:i w:val="0"/>
        </w:rPr>
        <w:t>erreurs médicales ou scientifiques</w:t>
      </w:r>
      <w:r>
        <w:rPr>
          <w:b w:val="0"/>
          <w:i w:val="0"/>
        </w:rPr>
        <w:t xml:space="preserve"> qu'il aurait été fautif d'enseigner. Ils sont traités en premier. Les autres relèvent de la précision, de la sécurité des élèves ou de choix pédagogiques.</w:t>
      </w:r>
    </w:p>
    <w:p>
      <w:pPr>
        <w:pStyle w:val="Heading3"/>
        <w:spacing w:before="200" w:after="100"/>
      </w:pPr>
      <w:r>
        <w:rPr>
          <w:b/>
          <w:i w:val="0"/>
          <w:color w:val="1E7B34"/>
          <w:sz w:val="24"/>
        </w:rPr>
        <w:t>Récapitulatif</w:t>
      </w:r>
    </w:p>
    <w:tbl>
      <w:tblPr>
        <w:tblStyle w:val="TableGrid"/>
        <w:tblW w:type="auto" w:w="0"/>
        <w:jc w:val="center"/>
        <w:tblLayout w:type="autofit"/>
        <w:tblLook w:firstColumn="1" w:firstRow="1" w:lastColumn="0" w:lastRow="0" w:noHBand="0" w:noVBand="1" w:val="04A0"/>
      </w:tblPr>
      <w:tblGrid>
        <w:gridCol w:w="4713"/>
        <w:gridCol w:w="4713"/>
        <w:gridCol w:w="4713"/>
      </w:tblGrid>
      <w:tr>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Gravité</w:t>
            </w:r>
          </w:p>
        </w:tc>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w:t>
            </w:r>
          </w:p>
        </w:tc>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Nature</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 </w:t>
            </w:r>
            <w:r>
              <w:rPr>
                <w:b/>
                <w:i w:val="0"/>
                <w:sz w:val="17"/>
              </w:rPr>
              <w:t>Critique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Erreur scientifique ou médicale dans la source officielle ; contenu non reproductible</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 </w:t>
            </w:r>
            <w:r>
              <w:rPr>
                <w:b/>
                <w:i w:val="0"/>
                <w:sz w:val="17"/>
              </w:rPr>
              <w:t>Substantiel</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Donnée imprécise, dangereuse hors contexte, ou hors programme</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 </w:t>
            </w:r>
            <w:r>
              <w:rPr>
                <w:b/>
                <w:i w:val="0"/>
                <w:sz w:val="17"/>
              </w:rPr>
              <w:t>Ordinaire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Reformulation, arrondi prudent, source défectueuse contournée</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 </w:t>
            </w:r>
            <w:r>
              <w:rPr>
                <w:b/>
                <w:i w:val="0"/>
                <w:sz w:val="17"/>
              </w:rPr>
              <w:t>Ajout</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Contenu absent des sources, jugé indispensable</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i w:val="0"/>
                <w:sz w:val="17"/>
              </w:rPr>
              <w:t>36</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p>
        </w:tc>
      </w:tr>
    </w:tbl>
    <w:p/>
    <w:tbl>
      <w:tblPr>
        <w:tblStyle w:val="TableGrid"/>
        <w:tblW w:type="auto" w:w="0"/>
        <w:jc w:val="center"/>
        <w:tblLayout w:type="autofit"/>
        <w:tblLook w:firstColumn="1" w:firstRow="1" w:lastColumn="0" w:lastRow="0" w:noHBand="0" w:noVBand="1" w:val="04A0"/>
      </w:tblPr>
      <w:tblGrid>
        <w:gridCol w:w="4713"/>
        <w:gridCol w:w="4713"/>
        <w:gridCol w:w="4713"/>
      </w:tblGrid>
      <w:tr>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Unité</w:t>
            </w:r>
          </w:p>
        </w:tc>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Écarts</w:t>
            </w:r>
          </w:p>
        </w:tc>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Dont critiques</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 — Alimentation</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II — Agriculture (plantes)</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II — Élevage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III — Santé et bien-être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IV — Reproduction humaine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i w:val="0"/>
                <w:sz w:val="17"/>
              </w:rPr>
              <w:t>3</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 — Géologie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i w:val="0"/>
                <w:sz w:val="17"/>
              </w:rPr>
              <w:t>1</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Révisions et examens</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Ensemble du manuel</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r>
    </w:tbl>
    <w:p/>
    <w:p>
      <w:r>
        <w:br w:type="page"/>
      </w:r>
    </w:p>
    <w:p>
      <w:r>
        <w:br w:type="page"/>
      </w:r>
    </w:p>
    <w:p>
      <w:pPr>
        <w:pStyle w:val="Heading1"/>
        <w:spacing w:before="280" w:after="100"/>
      </w:pPr>
      <w:r>
        <w:rPr>
          <w:b/>
          <w:i w:val="0"/>
          <w:color w:val="C00000"/>
          <w:sz w:val="34"/>
        </w:rPr>
        <w:t>I. Écarts critiques</w:t>
      </w:r>
    </w:p>
    <w:p>
      <w:pPr>
        <w:spacing w:after="80"/>
      </w:pPr>
      <w:r>
        <w:rPr>
          <w:b w:val="0"/>
          <w:i w:val="0"/>
        </w:rPr>
        <w:t>Quatre points sur lesquels enseigner la source officielle aurait transmis une information fausse ou juridiquement problématique.</w:t>
      </w:r>
    </w:p>
    <w:p>
      <w:pPr>
        <w:pStyle w:val="Heading2"/>
        <w:spacing w:before="200" w:after="100"/>
      </w:pPr>
      <w:r>
        <w:rPr>
          <w:b/>
          <w:i w:val="0"/>
          <w:color w:val="C00000"/>
          <w:sz w:val="28"/>
        </w:rPr>
        <w:t>⛔ C1 — Le FRP décrit le cancer de l'ENDOMÈTRE sous le titre « cancer du col de l'utérus »</w:t>
      </w:r>
    </w:p>
    <w:p>
      <w:pPr>
        <w:spacing w:after="80"/>
      </w:pPr>
      <w:r>
        <w:rPr>
          <w:b/>
          <w:i w:val="0"/>
        </w:rPr>
        <w:t>Source concernée</w:t>
      </w:r>
      <w:r>
        <w:rPr>
          <w:b w:val="0"/>
          <w:i w:val="0"/>
        </w:rPr>
        <w:t xml:space="preserve"> : FRP, RES 4.d · </w:t>
      </w:r>
      <w:r>
        <w:rPr>
          <w:b/>
          <w:i w:val="0"/>
        </w:rPr>
        <w:t>Séances</w:t>
      </w:r>
      <w:r>
        <w:rPr>
          <w:b w:val="0"/>
          <w:i w:val="0"/>
        </w:rPr>
        <w:t xml:space="preserve"> : 39, 40 · </w:t>
      </w:r>
      <w:r>
        <w:rPr>
          <w:b/>
          <w:i w:val="0"/>
        </w:rPr>
        <w:t>Gravité</w:t>
      </w:r>
      <w:r>
        <w:rPr>
          <w:b w:val="0"/>
          <w:i w:val="0"/>
        </w:rPr>
        <w:t xml:space="preserve"> : la plus élevée de tout le travail.</w:t>
      </w:r>
    </w:p>
    <w:p>
      <w:pPr>
        <w:spacing w:after="80"/>
      </w:pPr>
      <w:r>
        <w:rPr>
          <w:b w:val="0"/>
          <w:i w:val="0"/>
        </w:rPr>
        <w:t xml:space="preserve">La ressource s'intitule « Cancer du col de l'utérus ». Son introduction et sa section anatomique sont exactes. Mais ses sections </w:t>
      </w:r>
      <w:r>
        <w:rPr>
          <w:b/>
          <w:i w:val="0"/>
        </w:rPr>
        <w:t>« Causes »</w:t>
      </w:r>
      <w:r>
        <w:rPr>
          <w:b w:val="0"/>
          <w:i w:val="0"/>
        </w:rPr>
        <w:t xml:space="preserve"> et </w:t>
      </w:r>
      <w:r>
        <w:rPr>
          <w:b/>
          <w:i w:val="0"/>
        </w:rPr>
        <w:t>« Types »</w:t>
      </w:r>
      <w:r>
        <w:rPr>
          <w:b w:val="0"/>
          <w:i w:val="0"/>
        </w:rPr>
        <w:t xml:space="preserve"> décrivent </w:t>
      </w:r>
      <w:r>
        <w:rPr>
          <w:b/>
          <w:i w:val="0"/>
        </w:rPr>
        <w:t>une autre maladie</w:t>
      </w:r>
      <w:r>
        <w:rPr>
          <w:b w:val="0"/>
          <w:i w:val="0"/>
        </w:rPr>
        <w:t xml:space="preserve"> : le cancer de l'endomètre, qui touche la muqueuse du corps de l'utérus. Le FRP nomme d'ailleurs lui-même cette seconde maladie dans sa section « Types ».</w:t>
      </w:r>
    </w:p>
    <w:p>
      <w:pPr>
        <w:spacing w:after="80"/>
      </w:pPr>
      <w:r>
        <w:rPr>
          <w:b w:val="0"/>
          <w:i w:val="0"/>
        </w:rPr>
        <w:t>Les facteurs de risque qu'il attribue au cancer du col — excès d'œstrogènes, obésité, tamoxifène, syndrome de Lynch, ovaires polykystiques, âge supérieur à 45 ans — sont ceux du cancer de l'endomètre.</w:t>
      </w:r>
    </w:p>
    <w:tbl>
      <w:tblPr>
        <w:tblStyle w:val="TableGrid"/>
        <w:tblW w:type="auto" w:w="0"/>
        <w:jc w:val="center"/>
        <w:tblLayout w:type="autofit"/>
        <w:tblLook w:firstColumn="1" w:firstRow="1" w:lastColumn="0" w:lastRow="0" w:noHBand="0" w:noVBand="1" w:val="04A0"/>
      </w:tblPr>
      <w:tblGrid>
        <w:gridCol w:w="4713"/>
        <w:gridCol w:w="4713"/>
        <w:gridCol w:w="4713"/>
      </w:tblGrid>
      <w:tr>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Cancer du col</w:t>
            </w:r>
          </w:p>
        </w:tc>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Cancer de l'endomètre</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Localisation</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col, partie basse de l'utérus</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muqueuse du corps de l'utérus</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Cause principale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i w:val="0"/>
                <w:sz w:val="17"/>
              </w:rPr>
              <w:t>virale</w:t>
            </w:r>
            <w:r>
              <w:rPr>
                <w:b w:val="0"/>
                <w:i w:val="0"/>
                <w:sz w:val="17"/>
              </w:rPr>
              <w:t xml:space="preserve"> : HPV dans ≈ 99 % des cas</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i w:val="0"/>
                <w:sz w:val="17"/>
              </w:rPr>
              <w:t>hormonale</w:t>
            </w:r>
            <w:r>
              <w:rPr>
                <w:b w:val="0"/>
                <w:i w:val="0"/>
                <w:sz w:val="17"/>
              </w:rPr>
              <w:t xml:space="preserve"> : excès d'œstrogènes</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Facteurs de risque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HPV, </w:t>
            </w:r>
            <w:r>
              <w:rPr>
                <w:b/>
                <w:i w:val="0"/>
                <w:sz w:val="17"/>
              </w:rPr>
              <w:t>tabac</w:t>
            </w:r>
            <w:r>
              <w:rPr>
                <w:b w:val="0"/>
                <w:i w:val="0"/>
                <w:sz w:val="17"/>
              </w:rPr>
              <w:t>, VIH, absence de dépistage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obésité, diabète, tamoxifène, Lynch</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Âge habituel</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dès 30-40 ans</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surtout après la ménopause</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Prévention</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i w:val="0"/>
                <w:sz w:val="17"/>
              </w:rPr>
              <w:t>vaccin HPV + dépistage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pas de vaccin</w:t>
            </w:r>
          </w:p>
        </w:tc>
      </w:tr>
    </w:tbl>
    <w:p/>
    <w:p>
      <w:pPr>
        <w:spacing w:after="80"/>
      </w:pPr>
      <w:r>
        <w:rPr>
          <w:b/>
          <w:i w:val="0"/>
        </w:rPr>
        <w:t>Conséquence pédagogique directe.</w:t>
      </w:r>
      <w:r>
        <w:rPr>
          <w:b w:val="0"/>
          <w:i w:val="0"/>
        </w:rPr>
        <w:t xml:space="preserve"> En enseignant la version du FRP, on apprendrait à des élèves que le cancer du col serait lié à l'obésité et à l'âge, et </w:t>
      </w:r>
      <w:r>
        <w:rPr>
          <w:b/>
          <w:i w:val="0"/>
        </w:rPr>
        <w:t>on omettrait le tabac</w:t>
      </w:r>
      <w:r>
        <w:rPr>
          <w:b w:val="0"/>
          <w:i w:val="0"/>
        </w:rPr>
        <w:t xml:space="preserve"> — deuxième facteur de risque après le HPV. Une jeune fille en retiendrait qu'elle n'est pas concernée avant 45 ans, ce qui est faux.</w:t>
      </w:r>
    </w:p>
    <w:p>
      <w:pPr>
        <w:spacing w:after="80"/>
      </w:pPr>
      <w:r>
        <w:rPr>
          <w:b/>
          <w:i w:val="0"/>
        </w:rPr>
        <w:t>Décision.</w:t>
      </w:r>
      <w:r>
        <w:rPr>
          <w:b w:val="0"/>
          <w:i w:val="0"/>
        </w:rPr>
        <w:t xml:space="preserve"> Les séances 39 et 40 ne retiennent du FRP que ce qui concerne réellement le col : introduction, anatomie, dépistage, vaccination — sections exactes et bien documentées. Les sections « Causes » et « Types » sont </w:t>
      </w:r>
      <w:r>
        <w:rPr>
          <w:b/>
          <w:i w:val="0"/>
        </w:rPr>
        <w:t>écartées</w:t>
      </w:r>
      <w:r>
        <w:rPr>
          <w:b w:val="0"/>
          <w:i w:val="0"/>
        </w:rPr>
        <w:t xml:space="preserve"> et remplacées par les facteurs de risque réels.</w:t>
      </w:r>
    </w:p>
    <w:p>
      <w:pPr>
        <w:spacing w:after="80"/>
      </w:pPr>
      <w:r>
        <w:rPr>
          <w:b/>
          <w:i w:val="0"/>
        </w:rPr>
        <w:t>Vérification</w:t>
      </w:r>
      <w:r>
        <w:rPr>
          <w:b w:val="0"/>
          <w:i w:val="0"/>
        </w:rPr>
        <w:t xml:space="preserve"> : sources indépendantes concordantes (Ligue contre le cancer, ARCAGY-GINECO, Roswell Park, OMS).</w:t>
      </w:r>
    </w:p>
    <w:p>
      <w:pPr>
        <w:pStyle w:val="Heading2"/>
        <w:spacing w:before="200" w:after="100"/>
      </w:pPr>
      <w:r>
        <w:rPr>
          <w:b/>
          <w:i w:val="0"/>
          <w:color w:val="C00000"/>
          <w:sz w:val="28"/>
        </w:rPr>
        <w:t>⛔ C2 — Le PE attribue au cancer du col les causes de la fistule obstétricale</w:t>
      </w:r>
    </w:p>
    <w:p>
      <w:pPr>
        <w:spacing w:after="80"/>
      </w:pPr>
      <w:r>
        <w:rPr>
          <w:b/>
          <w:i w:val="0"/>
        </w:rPr>
        <w:t>Source concernée</w:t>
      </w:r>
      <w:r>
        <w:rPr>
          <w:b w:val="0"/>
          <w:i w:val="0"/>
        </w:rPr>
        <w:t xml:space="preserve"> : Programme d'Études · </w:t>
      </w:r>
      <w:r>
        <w:rPr>
          <w:b/>
          <w:i w:val="0"/>
        </w:rPr>
        <w:t>Séance</w:t>
      </w:r>
      <w:r>
        <w:rPr>
          <w:b w:val="0"/>
          <w:i w:val="0"/>
        </w:rPr>
        <w:t xml:space="preserve"> : 39.</w:t>
      </w:r>
    </w:p>
    <w:p>
      <w:pPr>
        <w:spacing w:after="80"/>
      </w:pPr>
      <w:r>
        <w:rPr>
          <w:b w:val="0"/>
          <w:i w:val="0"/>
        </w:rPr>
        <w:t xml:space="preserve">Le PE énonce, à la ligne « Cancer du col de l'utérus », des causes qui sont celles de la </w:t>
      </w:r>
      <w:r>
        <w:rPr>
          <w:b/>
          <w:i w:val="0"/>
        </w:rPr>
        <w:t>fistule obstétricale</w:t>
      </w:r>
      <w:r>
        <w:rPr>
          <w:b w:val="0"/>
          <w:i w:val="0"/>
        </w:rPr>
        <w:t xml:space="preserve"> — grossesse précoce, absence de suivi prénatal, accouchement prolongé — manifestement recopiées de la ligne précédente. Seul le dernier élément cité, le VPH, est exact.</w:t>
      </w:r>
    </w:p>
    <w:p>
      <w:pPr>
        <w:spacing w:after="80"/>
      </w:pPr>
      <w:r>
        <w:rPr>
          <w:b w:val="0"/>
          <w:i w:val="0"/>
        </w:rPr>
        <w:t xml:space="preserve">Un accouchement prolongé </w:t>
      </w:r>
      <w:r>
        <w:rPr>
          <w:b/>
          <w:i w:val="0"/>
        </w:rPr>
        <w:t>ne provoque pas</w:t>
      </w:r>
      <w:r>
        <w:rPr>
          <w:b w:val="0"/>
          <w:i w:val="0"/>
        </w:rPr>
        <w:t xml:space="preserve"> de cancer du col. Les mécanismes sont sans rapport : compression mécanique des tissus d'un côté, infection virale persistante évoluant sur quinze à vingt ans de l'autre.</w:t>
      </w:r>
    </w:p>
    <w:p>
      <w:pPr>
        <w:spacing w:after="80"/>
      </w:pPr>
      <w:r>
        <w:rPr>
          <w:b/>
          <w:i w:val="0"/>
        </w:rPr>
        <w:t>Décision.</w:t>
      </w:r>
      <w:r>
        <w:rPr>
          <w:b w:val="0"/>
          <w:i w:val="0"/>
        </w:rPr>
        <w:t xml:space="preserve"> La séance 39 retient </w:t>
      </w:r>
      <w:r>
        <w:rPr>
          <w:b/>
          <w:i w:val="0"/>
        </w:rPr>
        <w:t>uniquement le HPV</w:t>
      </w:r>
      <w:r>
        <w:rPr>
          <w:b w:val="0"/>
          <w:i w:val="0"/>
        </w:rPr>
        <w:t xml:space="preserve"> et les facteurs de risque réels. L'écart porte sur le PE lui-même, texte prescriptif : il est signalé ici en toute transparence, car il est vérifiable auprès de n'importe quelle source médicale. Le PE reste par ailleurs exact sur la fistule, où ces mêmes causes sont à leur place.</w:t>
      </w:r>
    </w:p>
    <w:p>
      <w:pPr>
        <w:pStyle w:val="Heading2"/>
        <w:spacing w:before="200" w:after="100"/>
      </w:pPr>
      <w:r>
        <w:rPr>
          <w:b/>
          <w:i w:val="0"/>
          <w:color w:val="C00000"/>
          <w:sz w:val="28"/>
        </w:rPr>
        <w:t>⛔ C3 — La lithothérapie présentée comme un usage thérapeutique</w:t>
      </w:r>
    </w:p>
    <w:p>
      <w:pPr>
        <w:spacing w:after="80"/>
      </w:pPr>
      <w:r>
        <w:rPr>
          <w:b/>
          <w:i w:val="0"/>
        </w:rPr>
        <w:t>Source concernée</w:t>
      </w:r>
      <w:r>
        <w:rPr>
          <w:b w:val="0"/>
          <w:i w:val="0"/>
        </w:rPr>
        <w:t xml:space="preserve"> : FRP, RES 5.d · </w:t>
      </w:r>
      <w:r>
        <w:rPr>
          <w:b/>
          <w:i w:val="0"/>
        </w:rPr>
        <w:t>Séance</w:t>
      </w:r>
      <w:r>
        <w:rPr>
          <w:b w:val="0"/>
          <w:i w:val="0"/>
        </w:rPr>
        <w:t xml:space="preserve"> : 47.</w:t>
      </w:r>
    </w:p>
    <w:p>
      <w:pPr>
        <w:spacing w:after="80"/>
      </w:pPr>
      <w:r>
        <w:rPr>
          <w:b w:val="0"/>
          <w:i w:val="0"/>
        </w:rPr>
        <w:t>Le FRP présente la lithothérapie au même rang que la joaillerie et l'industrie, prêtant aux pierres des « vibrations » bénéfiques et au diamant un effet apaisant sur le stress.</w:t>
      </w:r>
    </w:p>
    <w:p>
      <w:pPr>
        <w:spacing w:after="80"/>
      </w:pPr>
      <w:r>
        <w:rPr>
          <w:b w:val="0"/>
          <w:i w:val="0"/>
        </w:rPr>
        <w:t xml:space="preserve">C'est une </w:t>
      </w:r>
      <w:r>
        <w:rPr>
          <w:b/>
          <w:i w:val="0"/>
        </w:rPr>
        <w:t>pseudo-science</w:t>
      </w:r>
      <w:r>
        <w:rPr>
          <w:b w:val="0"/>
          <w:i w:val="0"/>
        </w:rPr>
        <w:t xml:space="preserve"> : aucune étude contrôlée n'établit d'effet supérieur à un placebo. L'enseigner comme un fait contreviendrait à la règle critique 13 du référentiel (fiabilité du contenu). Le risque est concret — des cas de refus ou de retard de soins au profit des pierres sont documentés.</w:t>
      </w:r>
    </w:p>
    <w:p>
      <w:pPr>
        <w:spacing w:after="80"/>
      </w:pPr>
      <w:r>
        <w:rPr>
          <w:b/>
          <w:i w:val="0"/>
        </w:rPr>
        <w:t>Décision.</w:t>
      </w:r>
      <w:r>
        <w:rPr>
          <w:b w:val="0"/>
          <w:i w:val="0"/>
        </w:rPr>
        <w:t xml:space="preserve"> La séance 47 traite la joaillerie et l'industrie comme usages réels, et consacre à la lithothérapie un </w:t>
      </w:r>
      <w:r>
        <w:rPr>
          <w:b/>
          <w:i w:val="0"/>
        </w:rPr>
        <w:t>encadré de mise en garde</w:t>
      </w:r>
      <w:r>
        <w:rPr>
          <w:b w:val="0"/>
          <w:i w:val="0"/>
        </w:rPr>
        <w:t xml:space="preserve"> qui la présente comme un fait social et commercial, jamais comme un usage thérapeutique.</w:t>
      </w:r>
    </w:p>
    <w:p>
      <w:pPr>
        <w:pStyle w:val="Heading2"/>
        <w:spacing w:before="200" w:after="100"/>
      </w:pPr>
      <w:r>
        <w:rPr>
          <w:b/>
          <w:i w:val="0"/>
          <w:color w:val="C00000"/>
          <w:sz w:val="28"/>
        </w:rPr>
        <w:t>⛔ C4 — Le témoignage de Sojina n'est pas reproductible</w:t>
      </w:r>
    </w:p>
    <w:p>
      <w:pPr>
        <w:spacing w:after="80"/>
      </w:pPr>
      <w:r>
        <w:rPr>
          <w:b/>
          <w:i w:val="0"/>
        </w:rPr>
        <w:t>Source concernée</w:t>
      </w:r>
      <w:r>
        <w:rPr>
          <w:b w:val="0"/>
          <w:i w:val="0"/>
        </w:rPr>
        <w:t xml:space="preserve"> : FRP, RES 4.c (source UNFPA) · </w:t>
      </w:r>
      <w:r>
        <w:rPr>
          <w:b/>
          <w:i w:val="0"/>
        </w:rPr>
        <w:t>Séance</w:t>
      </w:r>
      <w:r>
        <w:rPr>
          <w:b w:val="0"/>
          <w:i w:val="0"/>
        </w:rPr>
        <w:t xml:space="preserve"> : 41.</w:t>
      </w:r>
    </w:p>
    <w:p>
      <w:pPr>
        <w:spacing w:after="80"/>
      </w:pPr>
      <w:r>
        <w:rPr>
          <w:b w:val="0"/>
          <w:i w:val="0"/>
        </w:rPr>
        <w:t>Récit personnel d'une femme identifiable, publié par l'UNFPA dans un cadre éditorial précis. Le reprendre dans un manuel — même remanié, résumé ou adapté — poserait un problème de droits et de respect de la personne.</w:t>
      </w:r>
    </w:p>
    <w:p>
      <w:pPr>
        <w:spacing w:after="80"/>
      </w:pPr>
      <w:r>
        <w:rPr>
          <w:b w:val="0"/>
          <w:i w:val="0"/>
        </w:rPr>
        <w:t>Le nom ne figure nulle part dans les 51 séances : il n'apparaît que dans les annexes, pour documenter précisément cette exclusion.</w:t>
      </w:r>
    </w:p>
    <w:p>
      <w:pPr>
        <w:spacing w:after="80"/>
      </w:pPr>
      <w:r>
        <w:rPr>
          <w:b/>
          <w:i w:val="0"/>
        </w:rPr>
        <w:t>Décision.</w:t>
      </w:r>
      <w:r>
        <w:rPr>
          <w:b w:val="0"/>
          <w:i w:val="0"/>
        </w:rPr>
        <w:t xml:space="preserve"> Remplacé en séance 41 par des </w:t>
      </w:r>
      <w:r>
        <w:rPr>
          <w:b/>
          <w:i w:val="0"/>
        </w:rPr>
        <w:t>situations fictives</w:t>
      </w:r>
      <w:r>
        <w:rPr>
          <w:b w:val="0"/>
          <w:i w:val="0"/>
        </w:rPr>
        <w:t xml:space="preserve"> construites pour l'exercice, accompagnées d'une grille d'évaluation. Aucun élément du récit d'origine n'est conservé.</w:t>
      </w:r>
    </w:p>
    <w:p>
      <w:r>
        <w:br w:type="page"/>
      </w:r>
    </w:p>
    <w:p>
      <w:r>
        <w:br w:type="page"/>
      </w:r>
    </w:p>
    <w:p>
      <w:pPr>
        <w:pStyle w:val="Heading1"/>
        <w:spacing w:before="280" w:after="100"/>
      </w:pPr>
      <w:r>
        <w:rPr>
          <w:b/>
          <w:i w:val="0"/>
          <w:color w:val="C00000"/>
          <w:sz w:val="34"/>
        </w:rPr>
        <w:t>II. Écarts substantiels</w:t>
      </w:r>
    </w:p>
    <w:p>
      <w:pPr>
        <w:pStyle w:val="Heading2"/>
        <w:spacing w:before="200" w:after="100"/>
      </w:pPr>
      <w:r>
        <w:rPr>
          <w:b/>
          <w:i w:val="0"/>
          <w:color w:val="C00000"/>
          <w:sz w:val="28"/>
        </w:rPr>
        <w:t>⚠️ S1 — « 6 litres d'eau par jour » en prévention de la fistule</w:t>
      </w:r>
    </w:p>
    <w:p>
      <w:pPr>
        <w:spacing w:after="80"/>
      </w:pPr>
      <w:r>
        <w:rPr>
          <w:b/>
          <w:i w:val="0"/>
        </w:rPr>
        <w:t>FRP, RES 4.b · Séance 37.</w:t>
      </w:r>
      <w:r>
        <w:rPr>
          <w:b w:val="0"/>
          <w:i w:val="0"/>
        </w:rPr>
        <w:t xml:space="preserve"> Le FRP range une réhydratation de 6 litres quotidiens parmi les comportements </w:t>
      </w:r>
      <w:r>
        <w:rPr>
          <w:b/>
          <w:i w:val="0"/>
        </w:rPr>
        <w:t>préventifs</w:t>
      </w:r>
      <w:r>
        <w:rPr>
          <w:b w:val="0"/>
          <w:i w:val="0"/>
        </w:rPr>
        <w:t xml:space="preserve"> de la fistule. C'est très supérieur aux apports habituellement recommandés, et non anodin hors encadrement médical.</w:t>
      </w:r>
    </w:p>
    <w:p>
      <w:pPr>
        <w:spacing w:after="80"/>
      </w:pPr>
      <w:r>
        <w:rPr>
          <w:b w:val="0"/>
          <w:i w:val="0"/>
        </w:rPr>
        <w:t xml:space="preserve">Cette recommandation vient vraisemblablement de protocoles de </w:t>
      </w:r>
      <w:r>
        <w:rPr>
          <w:b/>
          <w:i w:val="0"/>
        </w:rPr>
        <w:t>prise en charge</w:t>
      </w:r>
      <w:r>
        <w:rPr>
          <w:b w:val="0"/>
          <w:i w:val="0"/>
        </w:rPr>
        <w:t xml:space="preserve"> de patientes déjà atteintes, où une hydratation abondante limite la concentration des urines et les infections. Elle n'a pas sa place dans une liste de prévention destinée à la population générale.</w:t>
      </w:r>
    </w:p>
    <w:p>
      <w:pPr>
        <w:spacing w:after="80"/>
      </w:pPr>
      <w:r>
        <w:rPr>
          <w:b/>
          <w:i w:val="0"/>
        </w:rPr>
        <w:t>Décision.</w:t>
      </w:r>
      <w:r>
        <w:rPr>
          <w:b w:val="0"/>
          <w:i w:val="0"/>
        </w:rPr>
        <w:t xml:space="preserve"> Le principe est conservé — hydratation abondante utile </w:t>
      </w:r>
      <w:r>
        <w:rPr>
          <w:b/>
          <w:i w:val="0"/>
        </w:rPr>
        <w:t>à la femme déjà atteinte, en attendant l'opération</w:t>
      </w:r>
      <w:r>
        <w:rPr>
          <w:b w:val="0"/>
          <w:i w:val="0"/>
        </w:rPr>
        <w:t xml:space="preserve"> — sans le chiffre, et présenté comme mesure de confort, non comme moyen d'éviter la fistule.</w:t>
      </w:r>
    </w:p>
    <w:p>
      <w:pPr>
        <w:pStyle w:val="Heading2"/>
        <w:spacing w:before="200" w:after="100"/>
      </w:pPr>
      <w:r>
        <w:rPr>
          <w:b/>
          <w:i w:val="0"/>
          <w:color w:val="C00000"/>
          <w:sz w:val="28"/>
        </w:rPr>
        <w:t>⚠️ S2 — Le cervelet présenté comme centre de réflexes</w:t>
      </w:r>
    </w:p>
    <w:p>
      <w:pPr>
        <w:spacing w:after="80"/>
      </w:pPr>
      <w:r>
        <w:rPr>
          <w:b/>
          <w:i w:val="0"/>
        </w:rPr>
        <w:t>FRP, RES 3.b · Séance 27.</w:t>
      </w:r>
      <w:r>
        <w:rPr>
          <w:b w:val="0"/>
          <w:i w:val="0"/>
        </w:rPr>
        <w:t xml:space="preserve"> Le FRP retient le « cervelet » parmi les centres possibles du mouvement réflexe inné. Le cervelet n'est pas un centre de réflexes : il assure la </w:t>
      </w:r>
      <w:r>
        <w:rPr>
          <w:b/>
          <w:i w:val="0"/>
        </w:rPr>
        <w:t>coordination et l'équilibre</w:t>
      </w:r>
      <w:r>
        <w:rPr>
          <w:b w:val="0"/>
          <w:i w:val="0"/>
        </w:rPr>
        <w:t xml:space="preserve">. Les centres à retenir sont la </w:t>
      </w:r>
      <w:r>
        <w:rPr>
          <w:b/>
          <w:i w:val="0"/>
        </w:rPr>
        <w:t>moelle épinière</w:t>
      </w:r>
      <w:r>
        <w:rPr>
          <w:b w:val="0"/>
          <w:i w:val="0"/>
        </w:rPr>
        <w:t xml:space="preserve"> et le </w:t>
      </w:r>
      <w:r>
        <w:rPr>
          <w:b/>
          <w:i w:val="0"/>
        </w:rPr>
        <w:t>tronc cérébral</w:t>
      </w:r>
      <w:r>
        <w:rPr>
          <w:b w:val="0"/>
          <w:i w:val="0"/>
        </w:rPr>
        <w:t>.</w:t>
      </w:r>
    </w:p>
    <w:p>
      <w:pPr>
        <w:spacing w:after="80"/>
      </w:pPr>
      <w:r>
        <w:rPr>
          <w:b/>
          <w:i w:val="0"/>
        </w:rPr>
        <w:t>Décision.</w:t>
      </w:r>
      <w:r>
        <w:rPr>
          <w:b w:val="0"/>
          <w:i w:val="0"/>
        </w:rPr>
        <w:t xml:space="preserve"> La séance 27 signale explicitement la confusion. L'erreur est fréquente et mérite d'être nommée plutôt que corrigée en silence.</w:t>
      </w:r>
    </w:p>
    <w:p>
      <w:pPr>
        <w:pStyle w:val="Heading2"/>
        <w:spacing w:before="200" w:after="100"/>
      </w:pPr>
      <w:r>
        <w:rPr>
          <w:b/>
          <w:i w:val="0"/>
          <w:color w:val="C00000"/>
          <w:sz w:val="28"/>
        </w:rPr>
        <w:t>⚠️ S3 — La salivation devant un citron, classée deux fois</w:t>
      </w:r>
    </w:p>
    <w:p>
      <w:pPr>
        <w:spacing w:after="80"/>
      </w:pPr>
      <w:r>
        <w:rPr>
          <w:b/>
          <w:i w:val="0"/>
        </w:rPr>
        <w:t>FRP, RES 3.b · Séance 28.</w:t>
      </w:r>
      <w:r>
        <w:rPr>
          <w:b w:val="0"/>
          <w:i w:val="0"/>
        </w:rPr>
        <w:t xml:space="preserve"> Le tableau du FRP fait figurer la salivation devant un citron </w:t>
      </w:r>
      <w:r>
        <w:rPr>
          <w:b/>
          <w:i w:val="0"/>
        </w:rPr>
        <w:t>à la fois</w:t>
      </w:r>
      <w:r>
        <w:rPr>
          <w:b w:val="0"/>
          <w:i w:val="0"/>
        </w:rPr>
        <w:t xml:space="preserve"> comme réflexe inné et comme réflexe acquis. C'est contradictoire — et c'est l'exemple que les élèves retiennent.</w:t>
      </w:r>
    </w:p>
    <w:p>
      <w:pPr>
        <w:spacing w:after="80"/>
      </w:pPr>
      <w:r>
        <w:rPr>
          <w:b/>
          <w:i w:val="0"/>
        </w:rPr>
        <w:t>Décision.</w:t>
      </w:r>
      <w:r>
        <w:rPr>
          <w:b w:val="0"/>
          <w:i w:val="0"/>
        </w:rPr>
        <w:t xml:space="preserve"> Critère de discrimination introduit : la salivation par </w:t>
      </w:r>
      <w:r>
        <w:rPr>
          <w:b/>
          <w:i w:val="0"/>
        </w:rPr>
        <w:t>contact</w:t>
      </w:r>
      <w:r>
        <w:rPr>
          <w:b w:val="0"/>
          <w:i w:val="0"/>
        </w:rPr>
        <w:t xml:space="preserve"> de l'acide sur la langue est innée ; la salivation à la </w:t>
      </w:r>
      <w:r>
        <w:rPr>
          <w:b/>
          <w:i w:val="0"/>
        </w:rPr>
        <w:t>vue</w:t>
      </w:r>
      <w:r>
        <w:rPr>
          <w:b w:val="0"/>
          <w:i w:val="0"/>
        </w:rPr>
        <w:t xml:space="preserve"> est acquise, puisqu'elle suppose d'avoir déjà goûté. La contradiction sert d'exercice de raisonnement.</w:t>
      </w:r>
    </w:p>
    <w:p>
      <w:pPr>
        <w:pStyle w:val="Heading2"/>
        <w:spacing w:before="200" w:after="100"/>
      </w:pPr>
      <w:r>
        <w:rPr>
          <w:b/>
          <w:i w:val="0"/>
          <w:color w:val="C00000"/>
          <w:sz w:val="28"/>
        </w:rPr>
        <w:t>⚠️ S4 — Confusion neem / voandelaka</w:t>
      </w:r>
    </w:p>
    <w:p>
      <w:pPr>
        <w:spacing w:after="80"/>
      </w:pPr>
      <w:r>
        <w:rPr>
          <w:b/>
          <w:i w:val="0"/>
        </w:rPr>
        <w:t>FRP, RES 2.e · Séance 17.</w:t>
      </w:r>
      <w:r>
        <w:rPr>
          <w:b w:val="0"/>
          <w:i w:val="0"/>
        </w:rPr>
        <w:t xml:space="preserve"> Le FRP écrit « le neem (voandelaka) » comme si les deux noms désignaient le même arbre. Ce sont deux espèces distinctes de Méliacées : le neem est </w:t>
      </w:r>
      <w:r>
        <w:rPr>
          <w:b w:val="0"/>
          <w:i/>
        </w:rPr>
        <w:t>Azadirachta indica</w:t>
      </w:r>
      <w:r>
        <w:rPr>
          <w:b w:val="0"/>
          <w:i w:val="0"/>
        </w:rPr>
        <w:t xml:space="preserve">, le voandelaka des Hautes Terres est </w:t>
      </w:r>
      <w:r>
        <w:rPr>
          <w:b w:val="0"/>
          <w:i/>
        </w:rPr>
        <w:t>Melia azedarach</w:t>
      </w:r>
      <w:r>
        <w:rPr>
          <w:b w:val="0"/>
          <w:i w:val="0"/>
        </w:rPr>
        <w:t>.</w:t>
      </w:r>
    </w:p>
    <w:p>
      <w:pPr>
        <w:spacing w:after="80"/>
      </w:pPr>
      <w:r>
        <w:rPr>
          <w:b/>
          <w:i w:val="0"/>
        </w:rPr>
        <w:t>Décision.</w:t>
      </w:r>
      <w:r>
        <w:rPr>
          <w:b w:val="0"/>
          <w:i w:val="0"/>
        </w:rPr>
        <w:t xml:space="preserve"> La séance 17 nomme les deux espèces et explique la confusion, ce qui transforme l'erreur en point d'apprentissage.</w:t>
      </w:r>
    </w:p>
    <w:p>
      <w:pPr>
        <w:pStyle w:val="Heading2"/>
        <w:spacing w:before="200" w:after="100"/>
      </w:pPr>
      <w:r>
        <w:rPr>
          <w:b/>
          <w:i w:val="0"/>
          <w:color w:val="C00000"/>
          <w:sz w:val="28"/>
        </w:rPr>
        <w:t>⚠️ S5 — Absence d'avertissement de toxicité du voandelaka</w:t>
      </w:r>
    </w:p>
    <w:p>
      <w:pPr>
        <w:spacing w:after="80"/>
      </w:pPr>
      <w:r>
        <w:rPr>
          <w:b/>
          <w:i w:val="0"/>
        </w:rPr>
        <w:t>FRP, RES 2.e · Séance 17.</w:t>
      </w:r>
      <w:r>
        <w:rPr>
          <w:b w:val="0"/>
          <w:i w:val="0"/>
        </w:rPr>
        <w:t xml:space="preserve"> Le FRP présente le voandelaka comme solution naturelle sans mentionner que </w:t>
      </w:r>
      <w:r>
        <w:rPr>
          <w:b/>
          <w:i w:val="0"/>
        </w:rPr>
        <w:t>toutes les parties de l'arbre sont toxiques</w:t>
      </w:r>
      <w:r>
        <w:rPr>
          <w:b w:val="0"/>
          <w:i w:val="0"/>
        </w:rPr>
        <w:t xml:space="preserve"> et que l'ingestion de quelques fruits suffit à provoquer une intoxication grave.</w:t>
      </w:r>
    </w:p>
    <w:p>
      <w:pPr>
        <w:spacing w:after="80"/>
      </w:pPr>
      <w:r>
        <w:rPr>
          <w:b/>
          <w:i w:val="0"/>
        </w:rPr>
        <w:t>Décision.</w:t>
      </w:r>
      <w:r>
        <w:rPr>
          <w:b w:val="0"/>
          <w:i w:val="0"/>
        </w:rPr>
        <w:t xml:space="preserve"> Section entière consacrée au principe « naturel ne veut pas dire sans danger ». Recommander une plante à des élèves de 14 ans sans cette précaution n'était pas acceptable.</w:t>
      </w:r>
    </w:p>
    <w:p>
      <w:pPr>
        <w:pStyle w:val="Heading2"/>
        <w:spacing w:before="200" w:after="100"/>
      </w:pPr>
      <w:r>
        <w:rPr>
          <w:b/>
          <w:i w:val="0"/>
          <w:color w:val="C00000"/>
          <w:sz w:val="28"/>
        </w:rPr>
        <w:t>⚠️ S6 — Pas de gisement de diamant gemme à Madagascar</w:t>
      </w:r>
    </w:p>
    <w:p>
      <w:pPr>
        <w:spacing w:after="80"/>
      </w:pPr>
      <w:r>
        <w:rPr>
          <w:b/>
          <w:i w:val="0"/>
        </w:rPr>
        <w:t>Programme d'Études · Séance 46.</w:t>
      </w:r>
      <w:r>
        <w:rPr>
          <w:b w:val="0"/>
          <w:i w:val="0"/>
        </w:rPr>
        <w:t xml:space="preserve"> Le PE cite « Diamant (Nosy Varika, Mandritsara) » parmi les localités à enseigner. Or Madagascar </w:t>
      </w:r>
      <w:r>
        <w:rPr>
          <w:b/>
          <w:i w:val="0"/>
        </w:rPr>
        <w:t>n'est pas un producteur reconnu de diamant gemme</w:t>
      </w:r>
      <w:r>
        <w:rPr>
          <w:b w:val="0"/>
          <w:i w:val="0"/>
        </w:rPr>
        <w:t xml:space="preserve"> : la littérature géologique fait état d'indices, non de gisements exploités, et les inventaires internationaux ne recensent pas le pays parmi les producteurs.</w:t>
      </w:r>
    </w:p>
    <w:p>
      <w:pPr>
        <w:spacing w:after="80"/>
      </w:pPr>
      <w:r>
        <w:rPr>
          <w:b/>
          <w:i w:val="0"/>
        </w:rPr>
        <w:t>Décision.</w:t>
      </w:r>
      <w:r>
        <w:rPr>
          <w:b w:val="0"/>
          <w:i w:val="0"/>
        </w:rPr>
        <w:t xml:space="preserve"> La séance 46 </w:t>
      </w:r>
      <w:r>
        <w:rPr>
          <w:b/>
          <w:i w:val="0"/>
        </w:rPr>
        <w:t>n'attribue aucune localité de diamant à Madagascar</w:t>
      </w:r>
      <w:r>
        <w:rPr>
          <w:b w:val="0"/>
          <w:i w:val="0"/>
        </w:rPr>
        <w:t>, tout en conservant le diamant parmi les quatre pierres précieuses de la séance 44. Écart signalé car il porte sur un exemple explicite du PE.</w:t>
      </w:r>
    </w:p>
    <w:p>
      <w:pPr>
        <w:pStyle w:val="Heading2"/>
        <w:spacing w:before="200" w:after="100"/>
      </w:pPr>
      <w:r>
        <w:rPr>
          <w:b/>
          <w:i w:val="0"/>
          <w:color w:val="C00000"/>
          <w:sz w:val="28"/>
        </w:rPr>
        <w:t>⚠️ S7 — Typologie des fistules hors programme</w:t>
      </w:r>
    </w:p>
    <w:p>
      <w:pPr>
        <w:spacing w:after="80"/>
      </w:pPr>
      <w:r>
        <w:rPr>
          <w:b/>
          <w:i w:val="0"/>
        </w:rPr>
        <w:t>FRP, RES 4.a · Séances 36-37.</w:t>
      </w:r>
      <w:r>
        <w:rPr>
          <w:b w:val="0"/>
          <w:i w:val="0"/>
        </w:rPr>
        <w:t xml:space="preserve"> La ressource développe une typologie des fistules — recto-vaginale, artério-veineuse, pulmonaire — qui déborde largement le programme. Le PE ne demande que la </w:t>
      </w:r>
      <w:r>
        <w:rPr>
          <w:b/>
          <w:i w:val="0"/>
        </w:rPr>
        <w:t>fistule obstétricale</w:t>
      </w:r>
      <w:r>
        <w:rPr>
          <w:b w:val="0"/>
          <w:i w:val="0"/>
        </w:rPr>
        <w:t>.</w:t>
      </w:r>
    </w:p>
    <w:p>
      <w:pPr>
        <w:spacing w:after="80"/>
      </w:pPr>
      <w:r>
        <w:rPr>
          <w:b/>
          <w:i w:val="0"/>
        </w:rPr>
        <w:t>Décision.</w:t>
      </w:r>
      <w:r>
        <w:rPr>
          <w:b w:val="0"/>
          <w:i w:val="0"/>
        </w:rPr>
        <w:t xml:space="preserve"> Non introduite. La séance 36 mentionne en une phrase que le mot « fistule » désigne d'autres réalités en médecine, sans les développer, pour éviter une confusion de vocabulaire.</w:t>
      </w:r>
    </w:p>
    <w:p>
      <w:r>
        <w:br w:type="page"/>
      </w:r>
    </w:p>
    <w:p>
      <w:r>
        <w:br w:type="page"/>
      </w:r>
    </w:p>
    <w:p>
      <w:pPr>
        <w:pStyle w:val="Heading1"/>
        <w:spacing w:before="280" w:after="100"/>
      </w:pPr>
      <w:r>
        <w:rPr>
          <w:b/>
          <w:i w:val="0"/>
          <w:color w:val="C00000"/>
          <w:sz w:val="34"/>
        </w:rPr>
        <w:t>III. Écarts ordinaires</w:t>
      </w:r>
    </w:p>
    <w:tbl>
      <w:tblPr>
        <w:tblStyle w:val="TableGrid"/>
        <w:tblW w:type="auto" w:w="0"/>
        <w:jc w:val="center"/>
        <w:tblLayout w:type="autofit"/>
        <w:tblLook w:firstColumn="1" w:firstRow="1" w:lastColumn="0" w:lastRow="0" w:noHBand="0" w:noVBand="1" w:val="04A0"/>
      </w:tblPr>
      <w:tblGrid>
        <w:gridCol w:w="2828"/>
        <w:gridCol w:w="2828"/>
        <w:gridCol w:w="2828"/>
        <w:gridCol w:w="2828"/>
        <w:gridCol w:w="2828"/>
      </w:tblGrid>
      <w:tr>
        <w:tc>
          <w:tcPr>
            <w:tcW w:type="dxa" w:w="28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w:t>
            </w:r>
          </w:p>
        </w:tc>
        <w:tc>
          <w:tcPr>
            <w:tcW w:type="dxa" w:w="28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Point</w:t>
            </w:r>
          </w:p>
        </w:tc>
        <w:tc>
          <w:tcPr>
            <w:tcW w:type="dxa" w:w="28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Source</w:t>
            </w:r>
          </w:p>
        </w:tc>
        <w:tc>
          <w:tcPr>
            <w:tcW w:type="dxa" w:w="28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28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Décision</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O1</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Durée de sommeil du nouveau-né donnée à 20 h</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FRP RES 3.d</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33</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Ramenée à </w:t>
            </w:r>
            <w:r>
              <w:rPr>
                <w:b/>
                <w:i w:val="0"/>
                <w:sz w:val="17"/>
              </w:rPr>
              <w:t>14-17 h</w:t>
            </w:r>
            <w:r>
              <w:rPr>
                <w:b w:val="0"/>
                <w:i w:val="0"/>
                <w:sz w:val="17"/>
              </w:rPr>
              <w:t>, recommandations actuelles. Les autres lignes du tableau étaient cohérentes</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O2</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Exemple de mouvement réflexe acquis syntaxiquement défectueux</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FRP RES 3.b</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28</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Exemple juste mais phrase amputée et incompréhensible : reformulée (freiner à la vue d'un piéton)</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O3</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des psychoactifs par statut légal</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FRP RES 3.e</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31</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Remplacé par la terminologie du </w:t>
            </w:r>
            <w:r>
              <w:rPr>
                <w:b/>
                <w:i w:val="0"/>
                <w:sz w:val="17"/>
              </w:rPr>
              <w:t>PE</w:t>
            </w:r>
            <w:r>
              <w:rPr>
                <w:b w:val="0"/>
                <w:i w:val="0"/>
                <w:sz w:val="17"/>
              </w:rPr>
              <w:t xml:space="preserve"> (excitants / sédatifs / hallucinogènes). Le classement « autorisé / illicite » laisse croire que l'autorisation garantit l'innocuité</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O4</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Conseil d'arrosage : les plantes « deviendraient paresseuses »</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FRP RES 2.c</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Idée sous-jacente juste (enracinement profond) conservée sous le nom d'</w:t>
            </w:r>
            <w:r>
              <w:rPr>
                <w:b/>
                <w:i w:val="0"/>
                <w:sz w:val="17"/>
              </w:rPr>
              <w:t>arrosage raisonné</w:t>
            </w:r>
            <w:r>
              <w:rPr>
                <w:b w:val="0"/>
                <w:i w:val="0"/>
                <w:sz w:val="17"/>
              </w:rPr>
              <w:t xml:space="preserve"> ; formulation anthropomorphique écartée</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O5</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Protocoles d'injection vétérinaire</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Doc. vétérinaire</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Écartés : s'adressent à des agents formés. La séance enseigne </w:t>
            </w:r>
            <w:r>
              <w:rPr>
                <w:b/>
                <w:i w:val="0"/>
                <w:sz w:val="17"/>
              </w:rPr>
              <w:t>pourquoi et quand</w:t>
            </w:r>
            <w:r>
              <w:rPr>
                <w:b w:val="0"/>
                <w:i w:val="0"/>
                <w:sz w:val="17"/>
              </w:rPr>
              <w:t xml:space="preserve"> vacciner, et renvoie l'acte au vétérinaire</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O6</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Méthodes d'euthanasie</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Doc. vétérinaire</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Écartées, sans mention ni allusion</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O7</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Densité de 25 oiseaux/m²</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Doc. technique</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 reprise : concerne l'élevage industriel en claustration, hors du cadre familial visé par le PE</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O8</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Part de patate douce « jusqu'à 35 % »</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Doc. technique</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Arrondi prudent : « jusqu'à environ un tiers », plus sûr sans balance de précision</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O9</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Perte de poids du zébu en saison sèche (25-30 %)</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CIRAD</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19</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Fourchette basse retenue (« parfois un quart »), le phénomène variant fortement selon les régions</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O10</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Liste de symptômes de la fistule hétérogène</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FRP RES 4.b</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36, 37</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FRP mêle symptômes, conséquences et événements de l'accouchement sous un seul titre. Séparés en </w:t>
            </w:r>
            <w:r>
              <w:rPr>
                <w:b/>
                <w:i w:val="0"/>
                <w:sz w:val="17"/>
              </w:rPr>
              <w:t>mécanisme / symptômes / conséquences</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O11</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Terme « dysfonctionnel sexuel »</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FRP RES 4.b</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36</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 repris : formulation incorrecte, sans portée pédagogique en T9</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O12</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Phrase sans sujet sur la rareté des gemmes</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FRP RES 5.b</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44</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FRP écrit « Plus rare que le diamant… » sans jamais nommer la pierre. Idée conservée, </w:t>
            </w:r>
            <w:r>
              <w:rPr>
                <w:b/>
                <w:i w:val="0"/>
                <w:sz w:val="17"/>
              </w:rPr>
              <w:t>exemples explicites</w:t>
            </w:r>
            <w:r>
              <w:rPr>
                <w:b w:val="0"/>
                <w:i w:val="0"/>
                <w:sz w:val="17"/>
              </w:rPr>
              <w:t xml:space="preserve"> ajoutés (painite, rhodizite)</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O13</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RES 5.b traduite automatiquement, sans Mohs ni clivage</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FRP RES 5.b</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45</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Non utilisée comme base : langue défectueuse, point de vue de vendeur, et </w:t>
            </w:r>
            <w:r>
              <w:rPr>
                <w:b/>
                <w:i w:val="0"/>
                <w:sz w:val="17"/>
              </w:rPr>
              <w:t>absence des notions exigées par le PE</w:t>
            </w:r>
            <w:r>
              <w:rPr>
                <w:b w:val="0"/>
                <w:i w:val="0"/>
                <w:sz w:val="17"/>
              </w:rPr>
              <w:t>. Séance construite sur l'échelle de Mohs</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O14</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RES 5.c réduite à deux images</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FRP RES 5.c</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46</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Aucun texte exploitable. Liste des localités tirée du </w:t>
            </w:r>
            <w:r>
              <w:rPr>
                <w:b/>
                <w:i w:val="0"/>
                <w:sz w:val="17"/>
              </w:rPr>
              <w:t>PE lui-même</w:t>
            </w:r>
            <w:r>
              <w:rPr>
                <w:b w:val="0"/>
                <w:i w:val="0"/>
                <w:sz w:val="17"/>
              </w:rPr>
              <w:t>, complétée par les travaux publiés sur les gisements malgaches</w:t>
            </w:r>
          </w:p>
        </w:tc>
      </w:tr>
      <w:tr>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i w:val="0"/>
                <w:sz w:val="17"/>
              </w:rPr>
              <w:t>O15</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Cinq séances de révision rigoureusement identiques</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Manuel d'origine</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11, 23, 34, 42, 50</w:t>
            </w:r>
          </w:p>
        </w:tc>
        <w:tc>
          <w:tcPr>
            <w:tcW w:type="dxa" w:w="28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Hash de contenu identique ; corrigé réduit à une méta-instruction. </w:t>
            </w:r>
            <w:r>
              <w:rPr>
                <w:b/>
                <w:i w:val="0"/>
                <w:sz w:val="17"/>
              </w:rPr>
              <w:t>Intégralement réécrites</w:t>
            </w:r>
            <w:r>
              <w:rPr>
                <w:b w:val="0"/>
                <w:i w:val="0"/>
                <w:sz w:val="17"/>
              </w:rPr>
              <w:t>, une par unité</w:t>
            </w:r>
          </w:p>
        </w:tc>
      </w:tr>
    </w:tbl>
    <w:p/>
    <w:p>
      <w:r>
        <w:br w:type="page"/>
      </w:r>
    </w:p>
    <w:p>
      <w:r>
        <w:br w:type="page"/>
      </w:r>
    </w:p>
    <w:p>
      <w:pPr>
        <w:pStyle w:val="Heading1"/>
        <w:spacing w:before="280" w:after="100"/>
      </w:pPr>
      <w:r>
        <w:rPr>
          <w:b/>
          <w:i w:val="0"/>
          <w:color w:val="C00000"/>
          <w:sz w:val="34"/>
        </w:rPr>
        <w:t>IV. Ajouts hors sources</w:t>
      </w:r>
    </w:p>
    <w:p>
      <w:pPr>
        <w:spacing w:after="80"/>
      </w:pPr>
      <w:r>
        <w:rPr>
          <w:b w:val="0"/>
          <w:i w:val="0"/>
        </w:rPr>
        <w:t>Contenus absents du PE et du FRP, introduits parce que leur absence rendait le cours incomplet ou risqué.</w:t>
      </w:r>
    </w:p>
    <w:tbl>
      <w:tblPr>
        <w:tblStyle w:val="TableGrid"/>
        <w:tblW w:type="auto" w:w="0"/>
        <w:jc w:val="center"/>
        <w:tblLayout w:type="autofit"/>
        <w:tblLook w:firstColumn="1" w:firstRow="1" w:lastColumn="0" w:lastRow="0" w:noHBand="0" w:noVBand="1" w:val="04A0"/>
      </w:tblPr>
      <w:tblGrid>
        <w:gridCol w:w="3535"/>
        <w:gridCol w:w="3535"/>
        <w:gridCol w:w="3535"/>
        <w:gridCol w:w="3535"/>
      </w:tblGrid>
      <w:tr>
        <w:tc>
          <w:tcPr>
            <w:tcW w:type="dxa" w:w="3535"/>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w:t>
            </w:r>
          </w:p>
        </w:tc>
        <w:tc>
          <w:tcPr>
            <w:tcW w:type="dxa" w:w="3535"/>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Ajout</w:t>
            </w:r>
          </w:p>
        </w:tc>
        <w:tc>
          <w:tcPr>
            <w:tcW w:type="dxa" w:w="3535"/>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3535"/>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Motif</w:t>
            </w:r>
          </w:p>
        </w:tc>
      </w:tr>
      <w:tr>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A1</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La fistule se répare chirurgicalement</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36, 37, 41</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FRP traite conséquences et prévention mais </w:t>
            </w:r>
            <w:r>
              <w:rPr>
                <w:b/>
                <w:i w:val="0"/>
                <w:sz w:val="17"/>
              </w:rPr>
              <w:t>n'indique nulle part que la fistule s'opère</w:t>
            </w:r>
            <w:r>
              <w:rPr>
                <w:b w:val="0"/>
                <w:i w:val="0"/>
                <w:sz w:val="17"/>
              </w:rPr>
              <w:t>. C'est l'information la plus utile à une femme déjà atteinte — et l'idée qu'elle serait incurable est ce qui décourage de consulter</w:t>
            </w:r>
          </w:p>
        </w:tc>
      </w:tr>
      <w:tr>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A2</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Le tabagisme</w:t>
            </w:r>
            <w:r>
              <w:rPr>
                <w:b w:val="0"/>
                <w:i w:val="0"/>
                <w:sz w:val="17"/>
              </w:rPr>
              <w:t xml:space="preserve"> parmi les facteurs de risque du cancer du col</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39</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Absent du FRP alors qu'il est le facteur le plus important après le HPV. La séance précise qu'il double le risque de certaines formes invasives</w:t>
            </w:r>
          </w:p>
        </w:tc>
      </w:tr>
      <w:tr>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A3</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L'infection à HPV est fréquente et le plus souvent transitoire</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39</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cette précision, un élève croit que toute infection conduit au cancer : angoisse inutile et incompréhension du dépistage</w:t>
            </w:r>
          </w:p>
        </w:tc>
      </w:tr>
      <w:tr>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A4</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Accoutumance et dépendance</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32, 33</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Absentes du FRP ; indispensables pour comprendre pourquoi l'arrêt est difficile</w:t>
            </w:r>
          </w:p>
        </w:tc>
      </w:tr>
      <w:tr>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A5</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Volet sécurité des produits phytosanitaires</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RES 2.f se limite à définir les trois classes. Protection, délai avant récolte et préservation des pollinisateurs ajoutés pour des élèves vivant en milieu agricole</w:t>
            </w:r>
          </w:p>
        </w:tc>
      </w:tr>
      <w:tr>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A6</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Consignes de sécurité pour les manipulations de pierres</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45</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PE prévoit marteau, couteau, lunettes et gants sans qu'aucune source n'accompagne ces outils de précautions</w:t>
            </w:r>
          </w:p>
        </w:tc>
      </w:tr>
      <w:tr>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A7</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Distinction dureté / ténacité</w:t>
            </w:r>
            <w:r>
              <w:rPr>
                <w:b w:val="0"/>
                <w:i w:val="0"/>
                <w:sz w:val="17"/>
              </w:rPr>
              <w:t>, corindons synthétiques, travail des enfants et répartition de la valeur</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45, 47, 48, 49</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confusion dureté/solidité est l'erreur la plus courante de l'unité. Les deux derniers points donnent leur contenu concret aux valeurs </w:t>
            </w:r>
            <w:r>
              <w:rPr>
                <w:b w:val="0"/>
                <w:i/>
                <w:sz w:val="17"/>
              </w:rPr>
              <w:t>responsabilité</w:t>
            </w:r>
            <w:r>
              <w:rPr>
                <w:b w:val="0"/>
                <w:i w:val="0"/>
                <w:sz w:val="17"/>
              </w:rPr>
              <w:t xml:space="preserve"> et </w:t>
            </w:r>
            <w:r>
              <w:rPr>
                <w:b w:val="0"/>
                <w:i/>
                <w:sz w:val="17"/>
              </w:rPr>
              <w:t>sens du bien commun</w:t>
            </w:r>
            <w:r>
              <w:rPr>
                <w:b w:val="0"/>
                <w:i w:val="0"/>
                <w:sz w:val="17"/>
              </w:rPr>
              <w:t xml:space="preserve"> du PE</w:t>
            </w:r>
          </w:p>
        </w:tc>
      </w:tr>
      <w:tr>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A9</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Sept illustrations en page LEÇON</w:t>
            </w:r>
            <w:r>
              <w:rPr>
                <w:b w:val="0"/>
                <w:i w:val="0"/>
                <w:sz w:val="17"/>
              </w:rPr>
              <w:t xml:space="preserve"> (13, 14, 16 ×2, 19, 30)</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13, 14, 16, 19, 30</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dépôt </w:t>
            </w:r>
            <w:r>
              <w:rPr>
                <w:rFonts w:ascii="Consolas" w:hAnsi="Consolas"/>
                <w:b w:val="0"/>
                <w:i w:val="0"/>
                <w:sz w:val="17"/>
              </w:rPr>
              <w:t>jlearn-pack</w:t>
            </w:r>
            <w:r>
              <w:rPr>
                <w:b w:val="0"/>
                <w:i w:val="0"/>
                <w:sz w:val="17"/>
              </w:rPr>
              <w:t xml:space="preserve"> contient 41 illustrations servies par CDN, dont aucune n'était utilisée par les pages de leçon. Sept ont été rapprochées des séances dont le texte les décrit déjà : plante entière, criquet, </w:t>
            </w:r>
            <w:r>
              <w:rPr>
                <w:b/>
                <w:i w:val="0"/>
                <w:sz w:val="17"/>
              </w:rPr>
              <w:t>rat des champs</w:t>
            </w:r>
            <w:r>
              <w:rPr>
                <w:b w:val="0"/>
                <w:i w:val="0"/>
                <w:sz w:val="17"/>
              </w:rPr>
              <w:t xml:space="preserve"> (la séance 16 cite les rats parmi les ravageurs sans les montrer ; le commentaire précise qu'ils s'attaquent surtout au </w:t>
            </w:r>
            <w:r>
              <w:rPr>
                <w:b/>
                <w:i w:val="0"/>
                <w:sz w:val="17"/>
              </w:rPr>
              <w:t>riz stocké</w:t>
            </w:r>
            <w:r>
              <w:rPr>
                <w:b w:val="0"/>
                <w:i w:val="0"/>
                <w:sz w:val="17"/>
              </w:rPr>
              <w:t xml:space="preserve">), poule, zébu, plus les deux schémas muets réemployés en leçon avant l'examen. Les 34 images restantes ont été </w:t>
            </w:r>
            <w:r>
              <w:rPr>
                <w:b/>
                <w:i w:val="0"/>
                <w:sz w:val="17"/>
              </w:rPr>
              <w:t>inspectées une à une, puis écartées</w:t>
            </w:r>
            <w:r>
              <w:rPr>
                <w:b w:val="0"/>
                <w:i w:val="0"/>
                <w:sz w:val="17"/>
              </w:rPr>
              <w:t xml:space="preserve"> pour trois motifs : hors programme T9 (appareil digestif, fleur en coupe) ; </w:t>
            </w:r>
            <w:r>
              <w:rPr>
                <w:b/>
                <w:i w:val="0"/>
                <w:sz w:val="17"/>
              </w:rPr>
              <w:t>texte parasite incrusté</w:t>
            </w:r>
            <w:r>
              <w:rPr>
                <w:b w:val="0"/>
                <w:i w:val="0"/>
                <w:sz w:val="17"/>
              </w:rPr>
              <w:t xml:space="preserve"> — </w:t>
            </w:r>
            <w:r>
              <w:rPr>
                <w:rFonts w:ascii="Consolas" w:hAnsi="Consolas"/>
                <w:b w:val="0"/>
                <w:i w:val="0"/>
                <w:sz w:val="17"/>
              </w:rPr>
              <w:t>falaise_strates.png</w:t>
            </w:r>
            <w:r>
              <w:rPr>
                <w:b w:val="0"/>
                <w:i w:val="0"/>
                <w:sz w:val="17"/>
              </w:rPr>
              <w:t xml:space="preserve"> porte le mot inexistant « Sounitet », </w:t>
            </w:r>
            <w:r>
              <w:rPr>
                <w:rFonts w:ascii="Consolas" w:hAnsi="Consolas"/>
                <w:b w:val="0"/>
                <w:i w:val="0"/>
                <w:sz w:val="17"/>
              </w:rPr>
              <w:t>svt9e_vaccination.png</w:t>
            </w:r>
            <w:r>
              <w:rPr>
                <w:b w:val="0"/>
                <w:i w:val="0"/>
                <w:sz w:val="17"/>
              </w:rPr>
              <w:t xml:space="preserve"> un flacon illisible ; ou sujet inadapté (vaccination d'un enfant là où la séance 21 traite du bétail). </w:t>
            </w:r>
            <w:r>
              <w:rPr>
                <w:b/>
                <w:i w:val="0"/>
                <w:sz w:val="17"/>
              </w:rPr>
              <w:t>Une image approximative nuit plus qu'elle n'aide</w:t>
            </w:r>
          </w:p>
        </w:tc>
      </w:tr>
      <w:tr>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A10</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Tableau de répartition du volume horaire</w:t>
            </w:r>
            <w:r>
              <w:rPr>
                <w:b w:val="0"/>
                <w:i w:val="0"/>
                <w:sz w:val="17"/>
              </w:rPr>
              <w:t xml:space="preserve"> en tête de manuel</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Page de garde</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PE fixe 66 h pour 4 h hebdomadaires, mais le manuel compte 51 séances et laisse le champ Durée vide. L'audit relevait que le volume horaire « aurait dû être lu et réparti, pas éludé » — le reproche valait aussi pour cette réécriture. Un tableau donne désormais le temps moyen par séance et par unité (50 min à 1 h 35). </w:t>
            </w:r>
            <w:r>
              <w:rPr>
                <w:b/>
                <w:i w:val="0"/>
                <w:sz w:val="17"/>
              </w:rPr>
              <w:t>L'Unité I est la seule en déficit</w:t>
            </w:r>
            <w:r>
              <w:rPr>
                <w:b w:val="0"/>
                <w:i w:val="0"/>
                <w:sz w:val="17"/>
              </w:rPr>
              <w:t xml:space="preserve"> : 12 séances pour 10 h ; deux solutions concrètes sont proposées, sans jamais sacrifier l'examen</w:t>
            </w:r>
          </w:p>
        </w:tc>
      </w:tr>
      <w:tr>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A8</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i w:val="0"/>
                <w:sz w:val="17"/>
              </w:rPr>
              <w:t>Deux schémas à légender</w:t>
            </w:r>
            <w:r>
              <w:rPr>
                <w:b w:val="0"/>
                <w:i w:val="0"/>
                <w:sz w:val="17"/>
              </w:rPr>
              <w:t xml:space="preserve"> : extrémité de racine, arc réflexe</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24, 35</w:t>
            </w:r>
          </w:p>
        </w:tc>
        <w:tc>
          <w:tcPr>
            <w:tcW w:type="dxa" w:w="3535"/>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manuel d'origine annonçait « Schéma à légender » dans vingt légendes d'images sans qu'aucun exercice de légendage n'existe. Les deux schémas sont </w:t>
            </w:r>
            <w:r>
              <w:rPr>
                <w:b/>
                <w:i w:val="0"/>
                <w:sz w:val="17"/>
              </w:rPr>
              <w:t>originaux</w:t>
            </w:r>
            <w:r>
              <w:rPr>
                <w:b w:val="0"/>
                <w:i w:val="0"/>
                <w:sz w:val="17"/>
              </w:rPr>
              <w:t xml:space="preserve">, dessinés pour ce manuel, et </w:t>
            </w:r>
            <w:r>
              <w:rPr>
                <w:b/>
                <w:i w:val="0"/>
                <w:sz w:val="17"/>
              </w:rPr>
              <w:t>volontairement dépourvus de texte</w:t>
            </w:r>
            <w:r>
              <w:rPr>
                <w:b w:val="0"/>
                <w:i w:val="0"/>
                <w:sz w:val="17"/>
              </w:rPr>
              <w:t xml:space="preserve"> : les noms sont à placer par l'élève. Aucune image du FRP n'a été reprise</w:t>
            </w:r>
          </w:p>
        </w:tc>
      </w:tr>
    </w:tbl>
    <w:p/>
    <w:p>
      <w:r>
        <w:br w:type="page"/>
      </w:r>
    </w:p>
    <w:p>
      <w:r>
        <w:br w:type="page"/>
      </w:r>
    </w:p>
    <w:p>
      <w:pPr>
        <w:pStyle w:val="Heading1"/>
        <w:spacing w:before="280" w:after="100"/>
      </w:pPr>
      <w:r>
        <w:rPr>
          <w:b/>
          <w:i w:val="0"/>
          <w:color w:val="C00000"/>
          <w:sz w:val="34"/>
        </w:rPr>
        <w:t>V. Points de vigilance signalés au validateur</w:t>
      </w:r>
    </w:p>
    <w:p>
      <w:pPr>
        <w:spacing w:after="80"/>
      </w:pPr>
      <w:r>
        <w:rPr>
          <w:b w:val="0"/>
          <w:i w:val="0"/>
        </w:rPr>
        <w:t>Trois choix qui ne sont pas des corrections d'erreur, mais des partis pris assumés, révisables sur décision pédagogique.</w:t>
      </w:r>
    </w:p>
    <w:p>
      <w:pPr>
        <w:spacing w:after="80"/>
      </w:pPr>
      <w:r>
        <w:rPr>
          <w:b/>
          <w:i w:val="0"/>
        </w:rPr>
        <w:t>V1 — Association et causalité (séance 35, exercice 3, question 3).</w:t>
      </w:r>
      <w:r>
        <w:rPr>
          <w:b w:val="0"/>
          <w:i w:val="0"/>
        </w:rPr>
        <w:t xml:space="preserve"> Cette question demande à l'élève de distinguer une corrélation d'un lien de cause à effet. Elle dépasse la lettre du programme. Elle est maintenue parce que l'unité III traite des substances psychoactives, domaine où cette confusion nourrit les idées fausses. Le barème la signale comme discriminante. </w:t>
      </w:r>
      <w:r>
        <w:rPr>
          <w:b/>
          <w:i w:val="0"/>
        </w:rPr>
        <w:t>Se retire en une ligne</w:t>
      </w:r>
      <w:r>
        <w:rPr>
          <w:b w:val="0"/>
          <w:i w:val="0"/>
        </w:rPr>
        <w:t xml:space="preserve"> si le niveau est jugé trop exigeant.</w:t>
      </w:r>
    </w:p>
    <w:p>
      <w:pPr>
        <w:spacing w:after="80"/>
      </w:pPr>
      <w:r>
        <w:rPr>
          <w:b/>
          <w:i w:val="0"/>
        </w:rPr>
        <w:t>V2 — Corrigé admettant deux réponses opposées (séance 43, exercice 3, question 3).</w:t>
      </w:r>
      <w:r>
        <w:rPr>
          <w:b w:val="0"/>
          <w:i w:val="0"/>
        </w:rPr>
        <w:t xml:space="preserve"> Le corrigé accepte que l'élève juge déterminant soit l'accès à la césarienne, soit le suivi prénatal, </w:t>
      </w:r>
      <w:r>
        <w:rPr>
          <w:b/>
          <w:i w:val="0"/>
        </w:rPr>
        <w:t>à condition que le choix soit argumenté</w:t>
      </w:r>
      <w:r>
        <w:rPr>
          <w:b w:val="0"/>
          <w:i w:val="0"/>
        </w:rPr>
        <w:t>. Ce qui est évalué est la qualité du raisonnement. Cela suppose un correcteur qui lise l'argumentation et pas seulement la conclusion.</w:t>
      </w:r>
    </w:p>
    <w:p>
      <w:pPr>
        <w:spacing w:after="80"/>
      </w:pPr>
      <w:r>
        <w:rPr>
          <w:b/>
          <w:i w:val="0"/>
        </w:rPr>
        <w:t>V3 — Intitulé de la colonne 1 du tableau de déroulement.</w:t>
      </w:r>
      <w:r>
        <w:rPr>
          <w:b w:val="0"/>
          <w:i w:val="0"/>
        </w:rPr>
        <w:t xml:space="preserve"> Le référentiel impose « Étapes et Durée ». La durée étant laissée vide sur demande, conserver l'intitulé complet annoncerait une colonne vide : </w:t>
      </w:r>
      <w:r>
        <w:rPr>
          <w:b/>
          <w:i w:val="0"/>
        </w:rPr>
        <w:t>« Étapes »</w:t>
      </w:r>
      <w:r>
        <w:rPr>
          <w:b w:val="0"/>
          <w:i w:val="0"/>
        </w:rPr>
        <w:t xml:space="preserve"> a été retenu. Revient à l'identique si la conformité littérale au gabarit est préférée.</w:t>
      </w:r>
    </w:p>
    <w:p>
      <w:r>
        <w:br w:type="page"/>
      </w:r>
    </w:p>
    <w:p>
      <w:r>
        <w:br w:type="page"/>
      </w:r>
    </w:p>
    <w:p>
      <w:pPr>
        <w:pStyle w:val="Heading1"/>
        <w:spacing w:before="280" w:after="100"/>
      </w:pPr>
      <w:r>
        <w:rPr>
          <w:b/>
          <w:i w:val="0"/>
          <w:color w:val="C00000"/>
          <w:sz w:val="34"/>
        </w:rPr>
        <w:t>VI. Ce qui n'a pas été repris du FRP, et pourquoi</w:t>
      </w:r>
    </w:p>
    <w:p>
      <w:pPr>
        <w:spacing w:after="80"/>
      </w:pPr>
      <w:r>
        <w:rPr>
          <w:b w:val="0"/>
          <w:i w:val="0"/>
        </w:rPr>
        <w:t>Au-delà des écarts de fond, une règle de méthode a encadré tout l'usage du fascicule.</w:t>
      </w:r>
    </w:p>
    <w:tbl>
      <w:tblPr>
        <w:tblStyle w:val="TableGrid"/>
        <w:tblW w:type="auto" w:w="0"/>
        <w:jc w:val="center"/>
        <w:tblLayout w:type="autofit"/>
        <w:tblLook w:firstColumn="1" w:firstRow="1" w:lastColumn="0" w:lastRow="0" w:noHBand="0" w:noVBand="1" w:val="04A0"/>
      </w:tblPr>
      <w:tblGrid>
        <w:gridCol w:w="7070"/>
        <w:gridCol w:w="7070"/>
      </w:tblGrid>
      <w:tr>
        <w:tc>
          <w:tcPr>
            <w:tcW w:type="dxa" w:w="707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Élément</w:t>
            </w:r>
          </w:p>
        </w:tc>
        <w:tc>
          <w:tcPr>
            <w:tcW w:type="dxa" w:w="707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Traitement</w:t>
            </w:r>
          </w:p>
        </w:tc>
      </w:tr>
      <w:tr>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i w:val="0"/>
                <w:sz w:val="17"/>
              </w:rPr>
              <w:t>Faits, chiffres, définitions</w:t>
            </w:r>
          </w:p>
        </w:tc>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Repris librement — un fait n'appartient à personne</w:t>
            </w:r>
          </w:p>
        </w:tc>
      </w:tr>
      <w:tr>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Progressions, protocoles, tableaux</w:t>
            </w:r>
          </w:p>
        </w:tc>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Repris en les restructurant</w:t>
            </w:r>
          </w:p>
        </w:tc>
      </w:tr>
      <w:tr>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i w:val="0"/>
                <w:sz w:val="17"/>
              </w:rPr>
              <w:t>Phrases rédigées, précis de cours</w:t>
            </w:r>
          </w:p>
        </w:tc>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Jamais repris, même remaniés</w:t>
            </w:r>
          </w:p>
        </w:tc>
      </w:tr>
      <w:tr>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i w:val="0"/>
                <w:sz w:val="17"/>
              </w:rPr>
              <w:t>Toutes les images</w:t>
            </w:r>
          </w:p>
        </w:tc>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Jamais reprises</w:t>
            </w:r>
          </w:p>
        </w:tc>
      </w:tr>
      <w:tr>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Données d'exercices</w:t>
            </w:r>
          </w:p>
        </w:tc>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Jamais reprises — toutes les données du manuel sont originales</w:t>
            </w:r>
          </w:p>
        </w:tc>
      </w:tr>
      <w:tr>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i w:val="0"/>
                <w:sz w:val="17"/>
              </w:rPr>
              <w:t>Témoignage de Sojina</w:t>
            </w:r>
          </w:p>
        </w:tc>
        <w:tc>
          <w:tcPr>
            <w:tcW w:type="dxa" w:w="7070"/>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Interdit de reprise (voir C4)</w:t>
            </w:r>
          </w:p>
        </w:tc>
      </w:tr>
    </w:tbl>
    <w:p/>
    <w:p>
      <w:pPr>
        <w:spacing w:after="80"/>
      </w:pPr>
      <w:r>
        <w:rPr>
          <w:b/>
          <w:i w:val="0"/>
        </w:rPr>
        <w:t>Contrôle exécuté.</w:t>
      </w:r>
      <w:r>
        <w:rPr>
          <w:b w:val="0"/>
          <w:i w:val="0"/>
        </w:rPr>
        <w:t xml:space="preserve"> L'intégralité du manuel a été comparée au fascicule par n-grammes de 6 mots :</w:t>
      </w:r>
    </w:p>
    <w:p>
      <w:pPr>
        <w:spacing w:after="80"/>
      </w:pPr>
      <w:r>
        <w:rPr>
          <w:rFonts w:ascii="Consolas" w:hAnsi="Consolas"/>
          <w:b w:val="0"/>
          <w:i w:val="0"/>
          <w:sz w:val="18"/>
        </w:rPr>
        <w:t>`</w:t>
      </w:r>
    </w:p>
    <w:p>
      <w:pPr>
        <w:spacing w:after="80"/>
      </w:pPr>
      <w:r>
        <w:rPr>
          <w:b w:val="0"/>
          <w:i w:val="0"/>
        </w:rPr>
        <w:t>python3 scripts/check_plagiat.py Manuel-SVT-T9-complet.md \</w:t>
      </w:r>
    </w:p>
    <w:p>
      <w:pPr>
        <w:spacing w:after="80"/>
      </w:pPr>
      <w:r>
        <w:rPr>
          <w:b w:val="0"/>
          <w:i w:val="0"/>
        </w:rPr>
        <w:t>sources-frp/frp_svt3e_full.txt --n 6 --min-car 25</w:t>
      </w:r>
    </w:p>
    <w:p>
      <w:pPr>
        <w:spacing w:after="80"/>
      </w:pPr>
      <w:r>
        <w:rPr>
          <w:rFonts w:ascii="Consolas" w:hAnsi="Consolas"/>
          <w:b w:val="0"/>
          <w:i w:val="0"/>
          <w:sz w:val="18"/>
        </w:rPr>
        <w:t>`</w:t>
      </w:r>
    </w:p>
    <w:p>
      <w:pPr>
        <w:spacing w:after="80"/>
      </w:pPr>
      <w:r>
        <w:rPr>
          <w:b/>
          <w:i w:val="0"/>
        </w:rPr>
        <w:t>Résultat : 0,00 % de recouvrement.</w:t>
      </w:r>
    </w:p>
    <w:p>
      <w:pPr>
        <w:spacing w:after="80"/>
      </w:pPr>
      <w:r>
        <w:rPr>
          <w:b w:val="0"/>
          <w:i w:val="0"/>
        </w:rPr>
        <w:t xml:space="preserve">Une exception de terminologie est documentée dans </w:t>
      </w:r>
      <w:r>
        <w:rPr>
          <w:rFonts w:ascii="Consolas" w:hAnsi="Consolas"/>
          <w:b w:val="0"/>
          <w:i w:val="0"/>
          <w:sz w:val="18"/>
        </w:rPr>
        <w:t>scripts/README-check-plagiat.md</w:t>
      </w:r>
      <w:r>
        <w:rPr>
          <w:b w:val="0"/>
          <w:i w:val="0"/>
        </w:rPr>
        <w:t xml:space="preserve"> : les noms de maladies imposés par le PE — « cancer du col de l'utérus » compte six mots pour l'outil — sont exemptés </w:t>
      </w:r>
      <w:r>
        <w:rPr>
          <w:b/>
          <w:i w:val="0"/>
        </w:rPr>
        <w:t>par égalité stricte</w:t>
      </w:r>
      <w:r>
        <w:rPr>
          <w:b w:val="0"/>
          <w:i w:val="0"/>
        </w:rPr>
        <w:t>, dès qu'un mot de formulation s'y ajoute le contrôle s'applique de nouveau. Vérification faite, l'outil détecte toujours une recopie réelle à 99,55 %.</w:t>
      </w:r>
    </w:p>
    <w:p>
      <w:pPr>
        <w:spacing w:after="80"/>
      </w:pPr>
      <w:r>
        <w:rPr>
          <w:b/>
          <w:i w:val="0"/>
        </w:rPr>
        <w:t>Sources tierces citées par le FRP</w:t>
      </w:r>
      <w:r>
        <w:rPr>
          <w:b w:val="0"/>
          <w:i w:val="0"/>
        </w:rPr>
        <w:t xml:space="preserve"> (manuels Bordas et Nathan, accesmad.org, alloprof.qc.ca) : jamais consultées ni reprises. La chaîne de citation n'a pas été remontée.</w:t>
      </w:r>
    </w:p>
    <w:p>
      <w:r>
        <w:br w:type="page"/>
      </w:r>
    </w:p>
    <w:p>
      <w:r>
        <w:br w:type="page"/>
      </w:r>
    </w:p>
    <w:p>
      <w:pPr>
        <w:pStyle w:val="Heading1"/>
        <w:spacing w:before="280" w:after="100"/>
      </w:pPr>
      <w:r>
        <w:rPr>
          <w:b/>
          <w:i w:val="0"/>
          <w:color w:val="C00000"/>
          <w:sz w:val="34"/>
        </w:rPr>
        <w:t>VII. Sources de substitution</w:t>
      </w:r>
    </w:p>
    <w:p>
      <w:pPr>
        <w:spacing w:after="80"/>
      </w:pPr>
      <w:r>
        <w:rPr>
          <w:b w:val="0"/>
          <w:i w:val="0"/>
        </w:rPr>
        <w:t>Lorsqu'une ressource officielle s'est révélée inutilisable, voici ce qui l'a remplacée.</w:t>
      </w:r>
    </w:p>
    <w:tbl>
      <w:tblPr>
        <w:tblStyle w:val="TableGrid"/>
        <w:tblW w:type="auto" w:w="0"/>
        <w:jc w:val="center"/>
        <w:tblLayout w:type="autofit"/>
        <w:tblLook w:firstColumn="1" w:firstRow="1" w:lastColumn="0" w:lastRow="0" w:noHBand="0" w:noVBand="1" w:val="04A0"/>
      </w:tblPr>
      <w:tblGrid>
        <w:gridCol w:w="4713"/>
        <w:gridCol w:w="4713"/>
        <w:gridCol w:w="4713"/>
      </w:tblGrid>
      <w:tr>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Domaine</w:t>
            </w:r>
          </w:p>
        </w:tc>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Source retenue</w:t>
            </w:r>
          </w:p>
        </w:tc>
        <w:tc>
          <w:tcPr>
            <w:tcW w:type="dxa" w:w="471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Motif</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Coefficients énergétiques</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FAO/INFOODS (coefficients d'Atwater)</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Référence internationale</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Élevage avicole et bovin</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FAO, CIRAD</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i w:val="0"/>
                <w:sz w:val="17"/>
              </w:rPr>
              <w:t>Le FRP ne couvre pas l'élevage</w:t>
            </w:r>
            <w:r>
              <w:rPr>
                <w:b w:val="0"/>
                <w:i w:val="0"/>
                <w:sz w:val="17"/>
              </w:rPr>
              <w:t xml:space="preserve"> — zéro occurrence sur 68 pages</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Cancer du col, HPV, dépistage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OMS, Ligue contre le cancer, ARCAGY-GINECO</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Substitution à RES 4.d (voir C1)</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Fistule obstétricale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OMS, UNFPA (faits, hors témoignage)</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Complément de RES 4.b</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Sommeil et système nerveux</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Recommandations internationales actuelles</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Substitution à RES 3.d (voir O1)</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Gemmologie, échelle de Mohs</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Friedrich Mohs (1812), IRD, université d'Antananarivo</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Substitution à RES 5.b (voir O13)</w:t>
            </w:r>
          </w:p>
        </w:tc>
      </w:tr>
      <w:tr>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Gisements malgaches</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 + travaux publiés</w:t>
            </w:r>
          </w:p>
        </w:tc>
        <w:tc>
          <w:tcPr>
            <w:tcW w:type="dxa" w:w="471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Substitution à RES 5.c (voir O14)</w:t>
            </w:r>
          </w:p>
        </w:tc>
      </w:tr>
    </w:tbl>
    <w:p/>
    <w:p>
      <w:r>
        <w:br w:type="page"/>
      </w:r>
    </w:p>
    <w:p>
      <w:pPr>
        <w:pStyle w:val="Heading2"/>
        <w:spacing w:before="200" w:after="100"/>
      </w:pPr>
      <w:r>
        <w:rPr>
          <w:b/>
          <w:i w:val="0"/>
          <w:color w:val="C00000"/>
          <w:sz w:val="28"/>
        </w:rPr>
        <w:t>En résumé</w:t>
      </w:r>
    </w:p>
    <w:p>
      <w:pPr>
        <w:spacing w:after="80"/>
      </w:pPr>
      <w:r>
        <w:rPr>
          <w:b w:val="0"/>
          <w:i w:val="0"/>
        </w:rPr>
        <w:t xml:space="preserve">Le manuel suit le Programme d'Études. Il s'en écarte sur </w:t>
      </w:r>
      <w:r>
        <w:rPr>
          <w:b/>
          <w:i w:val="0"/>
        </w:rPr>
        <w:t>deux points vérifiables</w:t>
      </w:r>
      <w:r>
        <w:rPr>
          <w:b w:val="0"/>
          <w:i w:val="0"/>
        </w:rPr>
        <w:t xml:space="preserve"> (C2, S6) et s'écarte du fascicule sur </w:t>
      </w:r>
      <w:r>
        <w:rPr>
          <w:b/>
          <w:i w:val="0"/>
        </w:rPr>
        <w:t>trente-deux autres</w:t>
      </w:r>
      <w:r>
        <w:rPr>
          <w:b w:val="0"/>
          <w:i w:val="0"/>
        </w:rPr>
        <w:t>, dont trois erreurs médicales qu'il aurait été fautif de transmettre à des élèves de quatorze ans.</w:t>
      </w:r>
    </w:p>
    <w:p>
      <w:pPr>
        <w:spacing w:after="80"/>
      </w:pPr>
      <w:r>
        <w:rPr>
          <w:b w:val="0"/>
          <w:i w:val="0"/>
        </w:rPr>
        <w:t>Chaque écart est justifié, sourcé, et localisé à la séance près. Aucun n'a été introduit par commodité de rédaction : tous procèdent soit d'un fait vérifiable contredisant la source, soit d'une exigence de sécurité, soit d'une règle du référentiel v18.</w:t>
      </w:r>
    </w:p>
    <w:p>
      <w:pPr>
        <w:spacing w:after="80"/>
      </w:pPr>
      <w:r>
        <w:rPr>
          <w:b w:val="0"/>
          <w:i w:val="0"/>
        </w:rPr>
        <w:t>Un validateur en désaccord avec l'un d'eux peut le rétablir sans toucher au reste : les écarts sont indépendants les uns des autres, à l'exception de C1 et C2 qui portent tous deux sur les causes du cancer du col et doivent être traités ensemble.</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