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0206"/>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Déroulement de la leçon (Enseignant / Apprenants) | Technique et Stratégie | Support et Matériel | Observation</w:t>
      </w:r>
      <w:r>
        <w:rPr>
          <w:b w:val="0"/>
          <w:i w:val="0"/>
        </w:rPr>
        <w:t>.</w:t>
      </w:r>
    </w:p>
    <w:p>
      <w:pPr>
        <w:pStyle w:val="Heading3"/>
        <w:spacing w:before="200" w:after="100"/>
      </w:pPr>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 name="Picture 1"/>
            <wp:cNvGraphicFramePr>
              <a:graphicFrameLocks noChangeAspect="1"/>
            </wp:cNvGraphicFramePr>
            <a:graphic>
              <a:graphicData uri="http://schemas.openxmlformats.org/drawingml/2006/picture">
                <pic:pic>
                  <pic:nvPicPr>
                    <pic:cNvPr id="0" name="img_seance01.png"/>
                    <pic:cNvPicPr/>
                  </pic:nvPicPr>
                  <pic:blipFill>
                    <a:blip r:embed="rId9"/>
                    <a:stretch>
                      <a:fillRect/>
                    </a:stretch>
                  </pic:blipFill>
                  <pic:spPr>
                    <a:xfrm>
                      <a:off x="0" y="0"/>
                      <a:ext cx="4320000" cy="2878691"/>
                    </a:xfrm>
                    <a:prstGeom prst="rect"/>
                  </pic:spPr>
                </pic:pic>
              </a:graphicData>
            </a:graphic>
          </wp:inline>
        </w:drawing>
      </w:r>
    </w:p>
    <w:p>
      <w:pPr>
        <w:jc w:val="center"/>
      </w:pPr>
      <w:r>
        <w:rPr>
          <w:i/>
          <w:sz w:val="18"/>
        </w:rPr>
        <w:t>Un repas malgache complet : riz, brèdes, haricots, poisson, tomate et banane.</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 4. Koto affirme : « J'ai trois aliments dans mon assiette, donc ma ration est variée. »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 xml:space="preserve">. 4. Il se trompe : la variété ne se compte pas en </w:t>
      </w:r>
      <w:r>
        <w:rPr>
          <w:b/>
          <w:i w:val="0"/>
        </w:rPr>
        <w:t>nombre d'aliments</w:t>
      </w:r>
      <w:r>
        <w:rPr>
          <w:b w:val="0"/>
          <w:i w:val="0"/>
        </w:rPr>
        <w:t xml:space="preserve"> mais en </w:t>
      </w:r>
      <w:r>
        <w:rPr>
          <w:b/>
          <w:i w:val="0"/>
        </w:rPr>
        <w:t>nombre de groupes</w:t>
      </w:r>
      <w:r>
        <w:rPr>
          <w:b w:val="0"/>
          <w:i w:val="0"/>
        </w:rPr>
        <w:t xml:space="preserve"> représentés. Le riz et l'huile appartiennent au </w:t>
      </w:r>
      <w:r>
        <w:rPr>
          <w:b/>
          <w:i w:val="0"/>
        </w:rPr>
        <w:t>même groupe</w:t>
      </w:r>
      <w:r>
        <w:rPr>
          <w:b w:val="0"/>
          <w:i w:val="0"/>
        </w:rPr>
        <w:t xml:space="preserve">, les énergétiques : son repas ne couvre donc que </w:t>
      </w:r>
      <w:r>
        <w:rPr>
          <w:b/>
          <w:i w:val="0"/>
        </w:rPr>
        <w:t>deux groupes sur trois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1971491"/>
            <wp:docPr id="2" name="Picture 2"/>
            <wp:cNvGraphicFramePr>
              <a:graphicFrameLocks noChangeAspect="1"/>
            </wp:cNvGraphicFramePr>
            <a:graphic>
              <a:graphicData uri="http://schemas.openxmlformats.org/drawingml/2006/picture">
                <pic:pic>
                  <pic:nvPicPr>
                    <pic:cNvPr id="0" name="img_seance02.png"/>
                    <pic:cNvPicPr/>
                  </pic:nvPicPr>
                  <pic:blipFill>
                    <a:blip r:embed="rId10"/>
                    <a:stretch>
                      <a:fillRect/>
                    </a:stretch>
                  </pic:blipFill>
                  <pic:spPr>
                    <a:xfrm>
                      <a:off x="0" y="0"/>
                      <a:ext cx="4320000" cy="1971491"/>
                    </a:xfrm>
                    <a:prstGeom prst="rect"/>
                  </pic:spPr>
                </pic:pic>
              </a:graphicData>
            </a:graphic>
          </wp:inline>
        </w:drawing>
      </w:r>
    </w:p>
    <w:p>
      <w:pPr>
        <w:jc w:val="center"/>
      </w:pPr>
      <w:r>
        <w:rPr>
          <w:i/>
          <w:sz w:val="18"/>
        </w:rPr>
        <w:t>Trois aliments, trois nutriments dominants : le riz (glucides), l'huile et l'arachide (lipides), le poisson et les haricots (protéines).</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 4. Ce test permet-il de savoir si le riz contient des protéines ? Explique.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xml:space="preserve">, qui ne laissent pas de tache grasse. 4. </w:t>
      </w:r>
      <w:r>
        <w:rPr>
          <w:b/>
          <w:i w:val="0"/>
        </w:rPr>
        <w:t>Non.</w:t>
      </w:r>
      <w:r>
        <w:rPr>
          <w:b w:val="0"/>
          <w:i w:val="0"/>
        </w:rPr>
        <w:t xml:space="preserve"> Le test du papier ne révèle </w:t>
      </w:r>
      <w:r>
        <w:rPr>
          <w:b/>
          <w:i w:val="0"/>
        </w:rPr>
        <w:t>que les lipides</w:t>
      </w:r>
      <w:r>
        <w:rPr>
          <w:b w:val="0"/>
          <w:i w:val="0"/>
        </w:rPr>
        <w:t xml:space="preserve">. L'absence de tache prouve seulement l'absence de matière grasse : elle ne dit </w:t>
      </w:r>
      <w:r>
        <w:rPr>
          <w:b/>
          <w:i w:val="0"/>
        </w:rPr>
        <w:t>rien</w:t>
      </w:r>
      <w:r>
        <w:rPr>
          <w:b w:val="0"/>
          <w:i w:val="0"/>
        </w:rPr>
        <w:t xml:space="preserve"> sur les protéines, qu'il faudrait mettre en évidence par un autre test.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 name="Picture 3"/>
            <wp:cNvGraphicFramePr>
              <a:graphicFrameLocks noChangeAspect="1"/>
            </wp:cNvGraphicFramePr>
            <a:graphic>
              <a:graphicData uri="http://schemas.openxmlformats.org/drawingml/2006/picture">
                <pic:pic>
                  <pic:nvPicPr>
                    <pic:cNvPr id="0" name="img_seance03.png"/>
                    <pic:cNvPicPr/>
                  </pic:nvPicPr>
                  <pic:blipFill>
                    <a:blip r:embed="rId11"/>
                    <a:stretch>
                      <a:fillRect/>
                    </a:stretch>
                  </pic:blipFill>
                  <pic:spPr>
                    <a:xfrm>
                      <a:off x="0" y="0"/>
                      <a:ext cx="4320000" cy="2878691"/>
                    </a:xfrm>
                    <a:prstGeom prst="rect"/>
                  </pic:spPr>
                </pic:pic>
              </a:graphicData>
            </a:graphic>
          </wp:inline>
        </w:drawing>
      </w:r>
    </w:p>
    <w:p>
      <w:pPr>
        <w:jc w:val="center"/>
      </w:pPr>
      <w:r>
        <w:rPr>
          <w:i/>
          <w:sz w:val="18"/>
        </w:rPr>
        <w:t>Fruits et légumes riches en vitamines et en sels minéraux, et l'eau, indispensable chaque jour.</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 4. Sa sœur lui conseille de manger davantage de riz pour reprendre des forces. Ce conseil est-il adapté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 xml:space="preserve">. 4. </w:t>
      </w:r>
      <w:r>
        <w:rPr>
          <w:b/>
          <w:i w:val="0"/>
        </w:rPr>
        <w:t>Non.</w:t>
      </w:r>
      <w:r>
        <w:rPr>
          <w:b w:val="0"/>
          <w:i w:val="0"/>
        </w:rPr>
        <w:t xml:space="preserve"> Le riz est un aliment </w:t>
      </w:r>
      <w:r>
        <w:rPr>
          <w:b/>
          <w:i w:val="0"/>
        </w:rPr>
        <w:t>énergétique</w:t>
      </w:r>
      <w:r>
        <w:rPr>
          <w:b w:val="0"/>
          <w:i w:val="0"/>
        </w:rPr>
        <w:t xml:space="preserve"> : il apporte de la force sur le moment, mais il est </w:t>
      </w:r>
      <w:r>
        <w:rPr>
          <w:b/>
          <w:i w:val="0"/>
        </w:rPr>
        <w:t>pauvre en fer</w:t>
      </w:r>
      <w:r>
        <w:rPr>
          <w:b w:val="0"/>
          <w:i w:val="0"/>
        </w:rPr>
        <w:t xml:space="preserve">. Augmenter le riz ne corrigera donc pas la cause de la fatigue ; il faut des aliments </w:t>
      </w:r>
      <w:r>
        <w:rPr>
          <w:b/>
          <w:i w:val="0"/>
        </w:rPr>
        <w:t>riches en fer</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jc w:val="center"/>
      </w:pPr>
      <w:r>
        <w:drawing>
          <wp:inline xmlns:a="http://schemas.openxmlformats.org/drawingml/2006/main" xmlns:pic="http://schemas.openxmlformats.org/drawingml/2006/picture">
            <wp:extent cx="4320000" cy="2368145"/>
            <wp:docPr id="4" name="Picture 4"/>
            <wp:cNvGraphicFramePr>
              <a:graphicFrameLocks noChangeAspect="1"/>
            </wp:cNvGraphicFramePr>
            <a:graphic>
              <a:graphicData uri="http://schemas.openxmlformats.org/drawingml/2006/picture">
                <pic:pic>
                  <pic:nvPicPr>
                    <pic:cNvPr id="0" name="img_seance04.png"/>
                    <pic:cNvPicPr/>
                  </pic:nvPicPr>
                  <pic:blipFill>
                    <a:blip r:embed="rId12"/>
                    <a:stretch>
                      <a:fillRect/>
                    </a:stretch>
                  </pic:blipFill>
                  <pic:spPr>
                    <a:xfrm>
                      <a:off x="0" y="0"/>
                      <a:ext cx="4320000" cy="2368145"/>
                    </a:xfrm>
                    <a:prstGeom prst="rect"/>
                  </pic:spPr>
                </pic:pic>
              </a:graphicData>
            </a:graphic>
          </wp:inline>
        </w:drawing>
      </w:r>
    </w:p>
    <w:p>
      <w:pPr>
        <w:jc w:val="center"/>
      </w:pPr>
      <w:r>
        <w:rPr>
          <w:i/>
          <w:sz w:val="18"/>
        </w:rPr>
        <w:t>Un gramme de glucides ou de protéines libère 4 kcal ; un gramme de lipides en libère 9.</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5" name="Picture 5"/>
            <wp:cNvGraphicFramePr>
              <a:graphicFrameLocks noChangeAspect="1"/>
            </wp:cNvGraphicFramePr>
            <a:graphic>
              <a:graphicData uri="http://schemas.openxmlformats.org/drawingml/2006/picture">
                <pic:pic>
                  <pic:nvPicPr>
                    <pic:cNvPr id="0" name="img_seance05.png"/>
                    <pic:cNvPicPr/>
                  </pic:nvPicPr>
                  <pic:blipFill>
                    <a:blip r:embed="rId13"/>
                    <a:stretch>
                      <a:fillRect/>
                    </a:stretch>
                  </pic:blipFill>
                  <pic:spPr>
                    <a:xfrm>
                      <a:off x="0" y="0"/>
                      <a:ext cx="4320000" cy="6480000"/>
                    </a:xfrm>
                    <a:prstGeom prst="rect"/>
                  </pic:spPr>
                </pic:pic>
              </a:graphicData>
            </a:graphic>
          </wp:inline>
        </w:drawing>
      </w:r>
    </w:p>
    <w:p>
      <w:pPr>
        <w:jc w:val="center"/>
      </w:pPr>
      <w:r>
        <w:rPr>
          <w:i/>
          <w:sz w:val="18"/>
        </w:rPr>
        <w:t>Le corps dépense de l'énergie même au repos : c'est le métabolisme de base.</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 4. Tiana en conclut qu'il peut se contenter de très peu de nourriture puisqu'il reste assis.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 4. Il se trompe. Même immobile, son corps </w:t>
      </w:r>
      <w:r>
        <w:rPr>
          <w:b/>
          <w:i w:val="0"/>
        </w:rPr>
        <w:t>dépense en permanence</w:t>
      </w:r>
      <w:r>
        <w:rPr>
          <w:b w:val="0"/>
          <w:i w:val="0"/>
        </w:rPr>
        <w:t xml:space="preserve"> de l'énergie pour faire battre le cœur, respirer, maintenir sa température et alimenter son cerveau : c'est le </w:t>
      </w:r>
      <w:r>
        <w:rPr>
          <w:b/>
          <w:i w:val="0"/>
        </w:rPr>
        <w:t>métabolisme de base</w:t>
      </w:r>
      <w:r>
        <w:rPr>
          <w:b w:val="0"/>
          <w:i w:val="0"/>
        </w:rPr>
        <w:t xml:space="preserve">, qui représente la plus grande part de la dépense quotidienne. Une ration trop faible le laisserait </w:t>
      </w:r>
      <w:r>
        <w:rPr>
          <w:b/>
          <w:i w:val="0"/>
        </w:rPr>
        <w:t>fatigué et incapable de se concentrer</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72073"/>
            <wp:docPr id="6" name="Picture 6"/>
            <wp:cNvGraphicFramePr>
              <a:graphicFrameLocks noChangeAspect="1"/>
            </wp:cNvGraphicFramePr>
            <a:graphic>
              <a:graphicData uri="http://schemas.openxmlformats.org/drawingml/2006/picture">
                <pic:pic>
                  <pic:nvPicPr>
                    <pic:cNvPr id="0" name="img_seance06.png"/>
                    <pic:cNvPicPr/>
                  </pic:nvPicPr>
                  <pic:blipFill>
                    <a:blip r:embed="rId14"/>
                    <a:stretch>
                      <a:fillRect/>
                    </a:stretch>
                  </pic:blipFill>
                  <pic:spPr>
                    <a:xfrm>
                      <a:off x="0" y="0"/>
                      <a:ext cx="4320000" cy="2372073"/>
                    </a:xfrm>
                    <a:prstGeom prst="rect"/>
                  </pic:spPr>
                </pic:pic>
              </a:graphicData>
            </a:graphic>
          </wp:inline>
        </w:drawing>
      </w:r>
    </w:p>
    <w:p>
      <w:pPr>
        <w:jc w:val="center"/>
      </w:pPr>
      <w:r>
        <w:rPr>
          <w:i/>
          <w:sz w:val="18"/>
        </w:rPr>
        <w:t>Les besoins énergétiques varient selon l'âge et l'activité.</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 4. Quelle part de l'apport total les lipides représentent-ils ? Donne le résultat en pourcentage, arrondi à l'unité.</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xml:space="preserve">. Fara doit augmenter sa ration, par exemple en ajoutant des aliments énergétiques à son goûter. 4. Les lipides apportent </w:t>
      </w:r>
      <w:r>
        <w:rPr>
          <w:b/>
          <w:i w:val="0"/>
        </w:rPr>
        <w:t>765 kcal</w:t>
      </w:r>
      <w:r>
        <w:rPr>
          <w:b w:val="0"/>
          <w:i w:val="0"/>
        </w:rPr>
        <w:t xml:space="preserve"> sur </w:t>
      </w:r>
      <w:r>
        <w:rPr>
          <w:b/>
          <w:i w:val="0"/>
        </w:rPr>
        <w:t>2 185 kcal</w:t>
      </w:r>
      <w:r>
        <w:rPr>
          <w:b w:val="0"/>
          <w:i w:val="0"/>
        </w:rPr>
        <w:t xml:space="preserve"> : 765 ÷ 2 185 = 0,350… soit environ </w:t>
      </w:r>
      <w:r>
        <w:rPr>
          <w:b/>
          <w:i w:val="0"/>
        </w:rPr>
        <w:t>35 %</w:t>
      </w:r>
      <w:r>
        <w:rPr>
          <w:b w:val="0"/>
          <w:i w:val="0"/>
        </w:rPr>
        <w:t xml:space="preserve"> de l'apport total.</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7" name="Picture 7"/>
            <wp:cNvGraphicFramePr>
              <a:graphicFrameLocks noChangeAspect="1"/>
            </wp:cNvGraphicFramePr>
            <a:graphic>
              <a:graphicData uri="http://schemas.openxmlformats.org/drawingml/2006/picture">
                <pic:pic>
                  <pic:nvPicPr>
                    <pic:cNvPr id="0" name="img_seance07.png"/>
                    <pic:cNvPicPr/>
                  </pic:nvPicPr>
                  <pic:blipFill>
                    <a:blip r:embed="rId15"/>
                    <a:stretch>
                      <a:fillRect/>
                    </a:stretch>
                  </pic:blipFill>
                  <pic:spPr>
                    <a:xfrm>
                      <a:off x="0" y="0"/>
                      <a:ext cx="4320000" cy="2160000"/>
                    </a:xfrm>
                    <a:prstGeom prst="rect"/>
                  </pic:spPr>
                </pic:pic>
              </a:graphicData>
            </a:graphic>
          </wp:inline>
        </w:drawing>
      </w:r>
    </w:p>
    <w:p>
      <w:pPr>
        <w:jc w:val="center"/>
      </w:pPr>
      <w:r>
        <w:rPr>
          <w:i/>
          <w:sz w:val="18"/>
        </w:rPr>
        <w:t>Un menu équilibré de la journée : petit-déjeuner, déjeuner et dîner.</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pour un adolescent, en n'utilisant que des aliments disponibles à Madagascar. Pour chaque repas, indique un féculent, un bâtisseur et un protecteur.</w:t>
      </w:r>
    </w:p>
    <w:p>
      <w:pPr>
        <w:spacing w:after="40"/>
        <w:ind w:left="425"/>
      </w:pPr>
      <w:r>
        <w:rPr>
          <w:b w:val="0"/>
          <w:i w:val="0"/>
        </w:rPr>
        <w:t>1. Le petit-déjeuner. 2. Le déjeuner. 3. Le goûter et le dîner. 4. Explique pourquoi le petit-déjeuner ne doit pas être sauté avant une journée de classe.</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r>
        <w:rPr>
          <w:b w:val="0"/>
          <w:i w:val="0"/>
        </w:rPr>
        <w:t xml:space="preserve"> 4. Après la nuit, le corps a épuisé ses réserves facilement mobilisables. Sans petit-déjeuner, l'élève manque d'énergie </w:t>
      </w:r>
      <w:r>
        <w:rPr>
          <w:b/>
          <w:i w:val="0"/>
        </w:rPr>
        <w:t>pour son cerveau</w:t>
      </w:r>
      <w:r>
        <w:rPr>
          <w:b w:val="0"/>
          <w:i w:val="0"/>
        </w:rPr>
        <w:t xml:space="preserve"> : l'attention et la mémoire baissent en fin de matinée, et la faim détourne de la leçon.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8" name="Picture 8"/>
            <wp:cNvGraphicFramePr>
              <a:graphicFrameLocks noChangeAspect="1"/>
            </wp:cNvGraphicFramePr>
            <a:graphic>
              <a:graphicData uri="http://schemas.openxmlformats.org/drawingml/2006/picture">
                <pic:pic>
                  <pic:nvPicPr>
                    <pic:cNvPr id="0" name="img_seance08.png"/>
                    <pic:cNvPicPr/>
                  </pic:nvPicPr>
                  <pic:blipFill>
                    <a:blip r:embed="rId16"/>
                    <a:stretch>
                      <a:fillRect/>
                    </a:stretch>
                  </pic:blipFill>
                  <pic:spPr>
                    <a:xfrm>
                      <a:off x="0" y="0"/>
                      <a:ext cx="4320000" cy="2878691"/>
                    </a:xfrm>
                    <a:prstGeom prst="rect"/>
                  </pic:spPr>
                </pic:pic>
              </a:graphicData>
            </a:graphic>
          </wp:inline>
        </w:drawing>
      </w:r>
    </w:p>
    <w:p>
      <w:pPr>
        <w:jc w:val="center"/>
      </w:pPr>
      <w:r>
        <w:rPr>
          <w:i/>
          <w:sz w:val="18"/>
        </w:rPr>
        <w:t>Une alimentation équilibrée soutient la croissance et l'attention en classe.</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9" name="Picture 9"/>
            <wp:cNvGraphicFramePr>
              <a:graphicFrameLocks noChangeAspect="1"/>
            </wp:cNvGraphicFramePr>
            <a:graphic>
              <a:graphicData uri="http://schemas.openxmlformats.org/drawingml/2006/picture">
                <pic:pic>
                  <pic:nvPicPr>
                    <pic:cNvPr id="0" name="img_seance09.png"/>
                    <pic:cNvPicPr/>
                  </pic:nvPicPr>
                  <pic:blipFill>
                    <a:blip r:embed="rId17"/>
                    <a:stretch>
                      <a:fillRect/>
                    </a:stretch>
                  </pic:blipFill>
                  <pic:spPr>
                    <a:xfrm>
                      <a:off x="0" y="0"/>
                      <a:ext cx="4320000" cy="2368145"/>
                    </a:xfrm>
                    <a:prstGeom prst="rect"/>
                  </pic:spPr>
                </pic:pic>
              </a:graphicData>
            </a:graphic>
          </wp:inline>
        </w:drawing>
      </w:r>
    </w:p>
    <w:p>
      <w:pPr>
        <w:jc w:val="center"/>
      </w:pPr>
      <w:r>
        <w:rPr>
          <w:i/>
          <w:sz w:val="18"/>
        </w:rPr>
        <w:t>Signes de malnutrition aiguë et aliments riches en protéines qui permettent d'y remédier.</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 4. Ces enfants mangent pourtant à leur faim. Comment expliquer qu'ils soient tout de même mal nourris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 4. Parce que </w:t>
      </w:r>
      <w:r>
        <w:rPr>
          <w:b/>
          <w:i w:val="0"/>
        </w:rPr>
        <w:t>manger à sa faim n'est pas manger équilibré</w:t>
      </w:r>
      <w:r>
        <w:rPr>
          <w:b w:val="0"/>
          <w:i w:val="0"/>
        </w:rPr>
        <w:t xml:space="preserve">. Le riz et le manioc calment la faim et apportent de l'énergie, mais ils sont </w:t>
      </w:r>
      <w:r>
        <w:rPr>
          <w:b/>
          <w:i w:val="0"/>
        </w:rPr>
        <w:t>pauvres en protéines, en vitamines et en sels minéraux</w:t>
      </w:r>
      <w:r>
        <w:rPr>
          <w:b w:val="0"/>
          <w:i w:val="0"/>
        </w:rPr>
        <w:t xml:space="preserve">. La quantité est suffisante, c'est la </w:t>
      </w:r>
      <w:r>
        <w:rPr>
          <w:b/>
          <w:i w:val="0"/>
        </w:rPr>
        <w:t>qualité et la variété</w:t>
      </w:r>
      <w:r>
        <w:rPr>
          <w:b w:val="0"/>
          <w:i w:val="0"/>
        </w:rPr>
        <w:t xml:space="preserve"> qui font défaut.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10" name="Picture 10"/>
            <wp:cNvGraphicFramePr>
              <a:graphicFrameLocks noChangeAspect="1"/>
            </wp:cNvGraphicFramePr>
            <a:graphic>
              <a:graphicData uri="http://schemas.openxmlformats.org/drawingml/2006/picture">
                <pic:pic>
                  <pic:nvPicPr>
                    <pic:cNvPr id="0" name="img_seance10.png"/>
                    <pic:cNvPicPr/>
                  </pic:nvPicPr>
                  <pic:blipFill>
                    <a:blip r:embed="rId18"/>
                    <a:stretch>
                      <a:fillRect/>
                    </a:stretch>
                  </pic:blipFill>
                  <pic:spPr>
                    <a:xfrm>
                      <a:off x="0" y="0"/>
                      <a:ext cx="4320000" cy="2368145"/>
                    </a:xfrm>
                    <a:prstGeom prst="rect"/>
                  </pic:spPr>
                </pic:pic>
              </a:graphicData>
            </a:graphic>
          </wp:inline>
        </w:drawing>
      </w:r>
    </w:p>
    <w:p>
      <w:pPr>
        <w:jc w:val="center"/>
      </w:pPr>
      <w:r>
        <w:rPr>
          <w:i/>
          <w:sz w:val="18"/>
        </w:rPr>
        <w:t>Surpoids et obésité : l'excès d'aliments gras et sucrés associé au manque d'activité.</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 4. Pour B, pourquoi supprimer complètement les matières grasses serait-il une mauvaise idée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xml:space="preserve">, en s'adaptant à l'état de la personne — l'un en enrichissant, l'autre en allégeant. 4. Parce que les lipides ne sont pas seulement une réserve d'énergie : ils </w:t>
      </w:r>
      <w:r>
        <w:rPr>
          <w:b/>
          <w:i w:val="0"/>
        </w:rPr>
        <w:t>entrent dans la composition des cellules</w:t>
      </w:r>
      <w:r>
        <w:rPr>
          <w:b w:val="0"/>
          <w:i w:val="0"/>
        </w:rPr>
        <w:t xml:space="preserve"> et permettent l'utilisation de certaines vitamines. Il faut donc </w:t>
      </w:r>
      <w:r>
        <w:rPr>
          <w:b/>
          <w:i w:val="0"/>
        </w:rPr>
        <w:t>les limiter, non les supprimer</w:t>
      </w:r>
      <w:r>
        <w:rPr>
          <w:b w:val="0"/>
          <w:i w:val="0"/>
        </w:rPr>
        <w:t xml:space="preserve"> — c'est l'excès qui pose problème, pas leur présence.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1" name="Picture 11"/>
            <wp:cNvGraphicFramePr>
              <a:graphicFrameLocks noChangeAspect="1"/>
            </wp:cNvGraphicFramePr>
            <a:graphic>
              <a:graphicData uri="http://schemas.openxmlformats.org/drawingml/2006/picture">
                <pic:pic>
                  <pic:nvPicPr>
                    <pic:cNvPr id="0" name="plante_organes.png"/>
                    <pic:cNvPicPr/>
                  </pic:nvPicPr>
                  <pic:blipFill>
                    <a:blip r:embed="rId19"/>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80000"/>
            <wp:docPr id="12" name="Picture 12"/>
            <wp:cNvGraphicFramePr>
              <a:graphicFrameLocks noChangeAspect="1"/>
            </wp:cNvGraphicFramePr>
            <a:graphic>
              <a:graphicData uri="http://schemas.openxmlformats.org/drawingml/2006/picture">
                <pic:pic>
                  <pic:nvPicPr>
                    <pic:cNvPr id="0" name="svt9e_racine_zones.png"/>
                    <pic:cNvPicPr/>
                  </pic:nvPicPr>
                  <pic:blipFill>
                    <a:blip r:embed="rId20"/>
                    <a:stretch>
                      <a:fillRect/>
                    </a:stretch>
                  </pic:blipFill>
                  <pic:spPr>
                    <a:xfrm>
                      <a:off x="0" y="0"/>
                      <a:ext cx="4320000" cy="6480000"/>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3" name="Picture 13"/>
            <wp:cNvGraphicFramePr>
              <a:graphicFrameLocks noChangeAspect="1"/>
            </wp:cNvGraphicFramePr>
            <a:graphic>
              <a:graphicData uri="http://schemas.openxmlformats.org/drawingml/2006/picture">
                <pic:pic>
                  <pic:nvPicPr>
                    <pic:cNvPr id="0" name="img_seance15.png"/>
                    <pic:cNvPicPr/>
                  </pic:nvPicPr>
                  <pic:blipFill>
                    <a:blip r:embed="rId21"/>
                    <a:stretch>
                      <a:fillRect/>
                    </a:stretch>
                  </pic:blipFill>
                  <pic:spPr>
                    <a:xfrm>
                      <a:off x="0" y="0"/>
                      <a:ext cx="4320000" cy="2878691"/>
                    </a:xfrm>
                    <a:prstGeom prst="rect"/>
                  </pic:spPr>
                </pic:pic>
              </a:graphicData>
            </a:graphic>
          </wp:inline>
        </w:drawing>
      </w:r>
    </w:p>
    <w:p>
      <w:pPr>
        <w:jc w:val="center"/>
      </w:pPr>
      <w:r>
        <w:rPr>
          <w:i/>
          <w:sz w:val="18"/>
        </w:rPr>
        <w:t>Les soins aux cultures : arrosage, sarclage, désherbage et éclaircissage.</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14" name="Picture 14"/>
            <wp:cNvGraphicFramePr>
              <a:graphicFrameLocks noChangeAspect="1"/>
            </wp:cNvGraphicFramePr>
            <a:graphic>
              <a:graphicData uri="http://schemas.openxmlformats.org/drawingml/2006/picture">
                <pic:pic>
                  <pic:nvPicPr>
                    <pic:cNvPr id="0" name="criquet_morphologie.png"/>
                    <pic:cNvPicPr/>
                  </pic:nvPicPr>
                  <pic:blipFill>
                    <a:blip r:embed="rId22"/>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15" name="Picture 15"/>
            <wp:cNvGraphicFramePr>
              <a:graphicFrameLocks noChangeAspect="1"/>
            </wp:cNvGraphicFramePr>
            <a:graphic>
              <a:graphicData uri="http://schemas.openxmlformats.org/drawingml/2006/picture">
                <pic:pic>
                  <pic:nvPicPr>
                    <pic:cNvPr id="0" name="rat_champ.png"/>
                    <pic:cNvPicPr/>
                  </pic:nvPicPr>
                  <pic:blipFill>
                    <a:blip r:embed="rId23"/>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16" name="Picture 16"/>
            <wp:cNvGraphicFramePr>
              <a:graphicFrameLocks noChangeAspect="1"/>
            </wp:cNvGraphicFramePr>
            <a:graphic>
              <a:graphicData uri="http://schemas.openxmlformats.org/drawingml/2006/picture">
                <pic:pic>
                  <pic:nvPicPr>
                    <pic:cNvPr id="0" name="img_seance17.png"/>
                    <pic:cNvPicPr/>
                  </pic:nvPicPr>
                  <pic:blipFill>
                    <a:blip r:embed="rId24"/>
                    <a:stretch>
                      <a:fillRect/>
                    </a:stretch>
                  </pic:blipFill>
                  <pic:spPr>
                    <a:xfrm>
                      <a:off x="0" y="0"/>
                      <a:ext cx="4320000" cy="2160000"/>
                    </a:xfrm>
                    <a:prstGeom prst="rect"/>
                  </pic:spPr>
                </pic:pic>
              </a:graphicData>
            </a:graphic>
          </wp:inline>
        </w:drawing>
      </w:r>
    </w:p>
    <w:p>
      <w:pPr>
        <w:jc w:val="center"/>
      </w:pPr>
      <w:r>
        <w:rPr>
          <w:i/>
          <w:sz w:val="18"/>
        </w:rPr>
        <w:t>Préparation d'un extrait naturel de neem pour protéger les cultures.</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7" name="Picture 17"/>
            <wp:cNvGraphicFramePr>
              <a:graphicFrameLocks noChangeAspect="1"/>
            </wp:cNvGraphicFramePr>
            <a:graphic>
              <a:graphicData uri="http://schemas.openxmlformats.org/drawingml/2006/picture">
                <pic:pic>
                  <pic:nvPicPr>
                    <pic:cNvPr id="0" name="img_seance18.png"/>
                    <pic:cNvPicPr/>
                  </pic:nvPicPr>
                  <pic:blipFill>
                    <a:blip r:embed="rId25"/>
                    <a:stretch>
                      <a:fillRect/>
                    </a:stretch>
                  </pic:blipFill>
                  <pic:spPr>
                    <a:xfrm>
                      <a:off x="0" y="0"/>
                      <a:ext cx="4320000" cy="2878691"/>
                    </a:xfrm>
                    <a:prstGeom prst="rect"/>
                  </pic:spPr>
                </pic:pic>
              </a:graphicData>
            </a:graphic>
          </wp:inline>
        </w:drawing>
      </w:r>
    </w:p>
    <w:p>
      <w:pPr>
        <w:jc w:val="center"/>
      </w:pPr>
      <w:r>
        <w:rPr>
          <w:i/>
          <w:sz w:val="18"/>
        </w:rPr>
        <w:t>L'usage responsable des produits chimiques exige des protections.</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18" name="Picture 18"/>
            <wp:cNvGraphicFramePr>
              <a:graphicFrameLocks noChangeAspect="1"/>
            </wp:cNvGraphicFramePr>
            <a:graphic>
              <a:graphicData uri="http://schemas.openxmlformats.org/drawingml/2006/picture">
                <pic:pic>
                  <pic:nvPicPr>
                    <pic:cNvPr id="0" name="svt9e_poule.png"/>
                    <pic:cNvPicPr/>
                  </pic:nvPicPr>
                  <pic:blipFill>
                    <a:blip r:embed="rId26"/>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19" name="Picture 19"/>
            <wp:cNvGraphicFramePr>
              <a:graphicFrameLocks noChangeAspect="1"/>
            </wp:cNvGraphicFramePr>
            <a:graphic>
              <a:graphicData uri="http://schemas.openxmlformats.org/drawingml/2006/picture">
                <pic:pic>
                  <pic:nvPicPr>
                    <pic:cNvPr id="0" name="svt9e_zebu.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0" name="Picture 20"/>
            <wp:cNvGraphicFramePr>
              <a:graphicFrameLocks noChangeAspect="1"/>
            </wp:cNvGraphicFramePr>
            <a:graphic>
              <a:graphicData uri="http://schemas.openxmlformats.org/drawingml/2006/picture">
                <pic:pic>
                  <pic:nvPicPr>
                    <pic:cNvPr id="0" name="img_seance20.png"/>
                    <pic:cNvPicPr/>
                  </pic:nvPicPr>
                  <pic:blipFill>
                    <a:blip r:embed="rId28"/>
                    <a:stretch>
                      <a:fillRect/>
                    </a:stretch>
                  </pic:blipFill>
                  <pic:spPr>
                    <a:xfrm>
                      <a:off x="0" y="0"/>
                      <a:ext cx="4320000" cy="2878691"/>
                    </a:xfrm>
                    <a:prstGeom prst="rect"/>
                  </pic:spPr>
                </pic:pic>
              </a:graphicData>
            </a:graphic>
          </wp:inline>
        </w:drawing>
      </w:r>
    </w:p>
    <w:p>
      <w:pPr>
        <w:jc w:val="center"/>
      </w:pPr>
      <w:r>
        <w:rPr>
          <w:i/>
          <w:sz w:val="18"/>
        </w:rPr>
        <w:t>Alimentation et habitat d'un élevage de volailles.</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21" name="Picture 21"/>
            <wp:cNvGraphicFramePr>
              <a:graphicFrameLocks noChangeAspect="1"/>
            </wp:cNvGraphicFramePr>
            <a:graphic>
              <a:graphicData uri="http://schemas.openxmlformats.org/drawingml/2006/picture">
                <pic:pic>
                  <pic:nvPicPr>
                    <pic:cNvPr id="0" name="img_seance21.png"/>
                    <pic:cNvPicPr/>
                  </pic:nvPicPr>
                  <pic:blipFill>
                    <a:blip r:embed="rId29"/>
                    <a:stretch>
                      <a:fillRect/>
                    </a:stretch>
                  </pic:blipFill>
                  <pic:spPr>
                    <a:xfrm>
                      <a:off x="0" y="0"/>
                      <a:ext cx="4320000" cy="2368145"/>
                    </a:xfrm>
                    <a:prstGeom prst="rect"/>
                  </pic:spPr>
                </pic:pic>
              </a:graphicData>
            </a:graphic>
          </wp:inline>
        </w:drawing>
      </w:r>
    </w:p>
    <w:p>
      <w:pPr>
        <w:jc w:val="center"/>
      </w:pPr>
      <w:r>
        <w:rPr>
          <w:i/>
          <w:sz w:val="18"/>
        </w:rPr>
        <w:t>La vaccination et le déparasitage protègent le troupeau.</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2" name="Picture 22"/>
            <wp:cNvGraphicFramePr>
              <a:graphicFrameLocks noChangeAspect="1"/>
            </wp:cNvGraphicFramePr>
            <a:graphic>
              <a:graphicData uri="http://schemas.openxmlformats.org/drawingml/2006/picture">
                <pic:pic>
                  <pic:nvPicPr>
                    <pic:cNvPr id="0" name="svt9e_zebu.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 zébu.</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80000"/>
            <wp:docPr id="23" name="Picture 23"/>
            <wp:cNvGraphicFramePr>
              <a:graphicFrameLocks noChangeAspect="1"/>
            </wp:cNvGraphicFramePr>
            <a:graphic>
              <a:graphicData uri="http://schemas.openxmlformats.org/drawingml/2006/picture">
                <pic:pic>
                  <pic:nvPicPr>
                    <pic:cNvPr id="0" name="svt9e_racine_zones.png"/>
                    <pic:cNvPicPr/>
                  </pic:nvPicPr>
                  <pic:blipFill>
                    <a:blip r:embed="rId20"/>
                    <a:stretch>
                      <a:fillRect/>
                    </a:stretch>
                  </pic:blipFill>
                  <pic:spPr>
                    <a:xfrm>
                      <a:off x="0" y="0"/>
                      <a:ext cx="4320000" cy="6480000"/>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24" name="Picture 24"/>
            <wp:cNvGraphicFramePr>
              <a:graphicFrameLocks noChangeAspect="1"/>
            </wp:cNvGraphicFramePr>
            <a:graphic>
              <a:graphicData uri="http://schemas.openxmlformats.org/drawingml/2006/picture">
                <pic:pic>
                  <pic:nvPicPr>
                    <pic:cNvPr id="0" name="img_seance25.png"/>
                    <pic:cNvPicPr/>
                  </pic:nvPicPr>
                  <pic:blipFill>
                    <a:blip r:embed="rId30"/>
                    <a:stretch>
                      <a:fillRect/>
                    </a:stretch>
                  </pic:blipFill>
                  <pic:spPr>
                    <a:xfrm>
                      <a:off x="0" y="0"/>
                      <a:ext cx="4320000" cy="6480000"/>
                    </a:xfrm>
                    <a:prstGeom prst="rect"/>
                  </pic:spPr>
                </pic:pic>
              </a:graphicData>
            </a:graphic>
          </wp:inline>
        </w:drawing>
      </w:r>
    </w:p>
    <w:p>
      <w:pPr>
        <w:jc w:val="center"/>
      </w:pPr>
      <w:r>
        <w:rPr>
          <w:i/>
          <w:sz w:val="18"/>
        </w:rPr>
        <w:t>L'organisation du système nerveux : encéphale, moelle épinière et nerfs.</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5" name="Picture 25"/>
            <wp:cNvGraphicFramePr>
              <a:graphicFrameLocks noChangeAspect="1"/>
            </wp:cNvGraphicFramePr>
            <a:graphic>
              <a:graphicData uri="http://schemas.openxmlformats.org/drawingml/2006/picture">
                <pic:pic>
                  <pic:nvPicPr>
                    <pic:cNvPr id="0" name="img_seance26.png"/>
                    <pic:cNvPicPr/>
                  </pic:nvPicPr>
                  <pic:blipFill>
                    <a:blip r:embed="rId31"/>
                    <a:stretch>
                      <a:fillRect/>
                    </a:stretch>
                  </pic:blipFill>
                  <pic:spPr>
                    <a:xfrm>
                      <a:off x="0" y="0"/>
                      <a:ext cx="4320000" cy="2878691"/>
                    </a:xfrm>
                    <a:prstGeom prst="rect"/>
                  </pic:spPr>
                </pic:pic>
              </a:graphicData>
            </a:graphic>
          </wp:inline>
        </w:drawing>
      </w:r>
    </w:p>
    <w:p>
      <w:pPr>
        <w:jc w:val="center"/>
      </w:pPr>
      <w:r>
        <w:rPr>
          <w:i/>
          <w:sz w:val="18"/>
        </w:rPr>
        <w:t>Cerveau, cervelet, bulbe rachidien et moelle épinière.</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6" name="Picture 26"/>
            <wp:cNvGraphicFramePr>
              <a:graphicFrameLocks noChangeAspect="1"/>
            </wp:cNvGraphicFramePr>
            <a:graphic>
              <a:graphicData uri="http://schemas.openxmlformats.org/drawingml/2006/picture">
                <pic:pic>
                  <pic:nvPicPr>
                    <pic:cNvPr id="0" name="img_seance27.png"/>
                    <pic:cNvPicPr/>
                  </pic:nvPicPr>
                  <pic:blipFill>
                    <a:blip r:embed="rId32"/>
                    <a:stretch>
                      <a:fillRect/>
                    </a:stretch>
                  </pic:blipFill>
                  <pic:spPr>
                    <a:xfrm>
                      <a:off x="0" y="0"/>
                      <a:ext cx="4320000" cy="2878691"/>
                    </a:xfrm>
                    <a:prstGeom prst="rect"/>
                  </pic:spPr>
                </pic:pic>
              </a:graphicData>
            </a:graphic>
          </wp:inline>
        </w:drawing>
      </w:r>
    </w:p>
    <w:p>
      <w:pPr>
        <w:jc w:val="center"/>
      </w:pPr>
      <w:r>
        <w:rPr>
          <w:i/>
          <w:sz w:val="18"/>
        </w:rPr>
        <w:t>Le réflexe inné : la main se retire avant toute réflexion.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27" name="Picture 27"/>
            <wp:cNvGraphicFramePr>
              <a:graphicFrameLocks noChangeAspect="1"/>
            </wp:cNvGraphicFramePr>
            <a:graphic>
              <a:graphicData uri="http://schemas.openxmlformats.org/drawingml/2006/picture">
                <pic:pic>
                  <pic:nvPicPr>
                    <pic:cNvPr id="0" name="img_seance28.png"/>
                    <pic:cNvPicPr/>
                  </pic:nvPicPr>
                  <pic:blipFill>
                    <a:blip r:embed="rId33"/>
                    <a:stretch>
                      <a:fillRect/>
                    </a:stretch>
                  </pic:blipFill>
                  <pic:spPr>
                    <a:xfrm>
                      <a:off x="0" y="0"/>
                      <a:ext cx="4320000" cy="2160000"/>
                    </a:xfrm>
                    <a:prstGeom prst="rect"/>
                  </pic:spPr>
                </pic:pic>
              </a:graphicData>
            </a:graphic>
          </wp:inline>
        </w:drawing>
      </w:r>
    </w:p>
    <w:p>
      <w:pPr>
        <w:jc w:val="center"/>
      </w:pPr>
      <w:r>
        <w:rPr>
          <w:i/>
          <w:sz w:val="18"/>
        </w:rPr>
        <w:t>Le réflexe acquis s'installe par la répétition.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8" name="Picture 28"/>
            <wp:cNvGraphicFramePr>
              <a:graphicFrameLocks noChangeAspect="1"/>
            </wp:cNvGraphicFramePr>
            <a:graphic>
              <a:graphicData uri="http://schemas.openxmlformats.org/drawingml/2006/picture">
                <pic:pic>
                  <pic:nvPicPr>
                    <pic:cNvPr id="0" name="img_seance29.png"/>
                    <pic:cNvPicPr/>
                  </pic:nvPicPr>
                  <pic:blipFill>
                    <a:blip r:embed="rId34"/>
                    <a:stretch>
                      <a:fillRect/>
                    </a:stretch>
                  </pic:blipFill>
                  <pic:spPr>
                    <a:xfrm>
                      <a:off x="0" y="0"/>
                      <a:ext cx="4320000" cy="2878691"/>
                    </a:xfrm>
                    <a:prstGeom prst="rect"/>
                  </pic:spPr>
                </pic:pic>
              </a:graphicData>
            </a:graphic>
          </wp:inline>
        </w:drawing>
      </w:r>
    </w:p>
    <w:p>
      <w:pPr>
        <w:jc w:val="center"/>
      </w:pPr>
      <w:r>
        <w:rPr>
          <w:i/>
          <w:sz w:val="18"/>
        </w:rPr>
        <w:t>Le mouvement volontaire est commandé par le cerveau.</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878691"/>
            <wp:docPr id="29" name="Picture 29"/>
            <wp:cNvGraphicFramePr>
              <a:graphicFrameLocks noChangeAspect="1"/>
            </wp:cNvGraphicFramePr>
            <a:graphic>
              <a:graphicData uri="http://schemas.openxmlformats.org/drawingml/2006/picture">
                <pic:pic>
                  <pic:nvPicPr>
                    <pic:cNvPr id="0" name="svt9e_arc_reflexe.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0" name="Picture 30"/>
            <wp:cNvGraphicFramePr>
              <a:graphicFrameLocks noChangeAspect="1"/>
            </wp:cNvGraphicFramePr>
            <a:graphic>
              <a:graphicData uri="http://schemas.openxmlformats.org/drawingml/2006/picture">
                <pic:pic>
                  <pic:nvPicPr>
                    <pic:cNvPr id="0" name="img_seance31.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Les catégories de substances psychoactives.</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1" name="Picture 31"/>
            <wp:cNvGraphicFramePr>
              <a:graphicFrameLocks noChangeAspect="1"/>
            </wp:cNvGraphicFramePr>
            <a:graphic>
              <a:graphicData uri="http://schemas.openxmlformats.org/drawingml/2006/picture">
                <pic:pic>
                  <pic:nvPicPr>
                    <pic:cNvPr id="0" name="img_seance32.png"/>
                    <pic:cNvPicPr/>
                  </pic:nvPicPr>
                  <pic:blipFill>
                    <a:blip r:embed="rId37"/>
                    <a:stretch>
                      <a:fillRect/>
                    </a:stretch>
                  </pic:blipFill>
                  <pic:spPr>
                    <a:xfrm>
                      <a:off x="0" y="0"/>
                      <a:ext cx="4320000" cy="2878691"/>
                    </a:xfrm>
                    <a:prstGeom prst="rect"/>
                  </pic:spPr>
                </pic:pic>
              </a:graphicData>
            </a:graphic>
          </wp:inline>
        </w:drawing>
      </w:r>
    </w:p>
    <w:p>
      <w:pPr>
        <w:jc w:val="center"/>
      </w:pPr>
      <w:r>
        <w:rPr>
          <w:i/>
          <w:sz w:val="18"/>
        </w:rPr>
        <w:t>Effets des substances psychoactives sur l'organisme et la vie sociale.</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2" name="Picture 32"/>
            <wp:cNvGraphicFramePr>
              <a:graphicFrameLocks noChangeAspect="1"/>
            </wp:cNvGraphicFramePr>
            <a:graphic>
              <a:graphicData uri="http://schemas.openxmlformats.org/drawingml/2006/picture">
                <pic:pic>
                  <pic:nvPicPr>
                    <pic:cNvPr id="0" name="img_seance33.png"/>
                    <pic:cNvPicPr/>
                  </pic:nvPicPr>
                  <pic:blipFill>
                    <a:blip r:embed="rId38"/>
                    <a:stretch>
                      <a:fillRect/>
                    </a:stretch>
                  </pic:blipFill>
                  <pic:spPr>
                    <a:xfrm>
                      <a:off x="0" y="0"/>
                      <a:ext cx="4320000" cy="2878691"/>
                    </a:xfrm>
                    <a:prstGeom prst="rect"/>
                  </pic:spPr>
                </pic:pic>
              </a:graphicData>
            </a:graphic>
          </wp:inline>
        </w:drawing>
      </w:r>
    </w:p>
    <w:p>
      <w:pPr>
        <w:jc w:val="center"/>
      </w:pPr>
      <w:r>
        <w:rPr>
          <w:i/>
          <w:sz w:val="18"/>
        </w:rPr>
        <w:t>Hygiène du système nerveux : sommeil, alimentation et activité physique.</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878691"/>
            <wp:docPr id="33" name="Picture 33"/>
            <wp:cNvGraphicFramePr>
              <a:graphicFrameLocks noChangeAspect="1"/>
            </wp:cNvGraphicFramePr>
            <a:graphic>
              <a:graphicData uri="http://schemas.openxmlformats.org/drawingml/2006/picture">
                <pic:pic>
                  <pic:nvPicPr>
                    <pic:cNvPr id="0" name="svt9e_arc_reflexe.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4" name="Picture 34"/>
            <wp:cNvGraphicFramePr>
              <a:graphicFrameLocks noChangeAspect="1"/>
            </wp:cNvGraphicFramePr>
            <a:graphic>
              <a:graphicData uri="http://schemas.openxmlformats.org/drawingml/2006/picture">
                <pic:pic>
                  <pic:nvPicPr>
                    <pic:cNvPr id="0" name="img_seance36.png"/>
                    <pic:cNvPicPr/>
                  </pic:nvPicPr>
                  <pic:blipFill>
                    <a:blip r:embed="rId39"/>
                    <a:stretch>
                      <a:fillRect/>
                    </a:stretch>
                  </pic:blipFill>
                  <pic:spPr>
                    <a:xfrm>
                      <a:off x="0" y="0"/>
                      <a:ext cx="4320000" cy="2878691"/>
                    </a:xfrm>
                    <a:prstGeom prst="rect"/>
                  </pic:spPr>
                </pic:pic>
              </a:graphicData>
            </a:graphic>
          </wp:inline>
        </w:drawing>
      </w:r>
    </w:p>
    <w:p>
      <w:pPr>
        <w:jc w:val="center"/>
      </w:pPr>
      <w:r>
        <w:rPr>
          <w:i/>
          <w:sz w:val="18"/>
        </w:rPr>
        <w:t>L'appareil génital féminin : repères anatomiques.</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5" name="Picture 35"/>
            <wp:cNvGraphicFramePr>
              <a:graphicFrameLocks noChangeAspect="1"/>
            </wp:cNvGraphicFramePr>
            <a:graphic>
              <a:graphicData uri="http://schemas.openxmlformats.org/drawingml/2006/picture">
                <pic:pic>
                  <pic:nvPicPr>
                    <pic:cNvPr id="0" name="img_seance37.png"/>
                    <pic:cNvPicPr/>
                  </pic:nvPicPr>
                  <pic:blipFill>
                    <a:blip r:embed="rId40"/>
                    <a:stretch>
                      <a:fillRect/>
                    </a:stretch>
                  </pic:blipFill>
                  <pic:spPr>
                    <a:xfrm>
                      <a:off x="0" y="0"/>
                      <a:ext cx="4320000" cy="2878691"/>
                    </a:xfrm>
                    <a:prstGeom prst="rect"/>
                  </pic:spPr>
                </pic:pic>
              </a:graphicData>
            </a:graphic>
          </wp:inline>
        </w:drawing>
      </w:r>
    </w:p>
    <w:p>
      <w:pPr>
        <w:jc w:val="center"/>
      </w:pPr>
      <w:r>
        <w:rPr>
          <w:i/>
          <w:sz w:val="18"/>
        </w:rPr>
        <w:t>Le suivi prénatal permet de prévenir les complications de l'accouchement.</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411163"/>
            <wp:docPr id="36" name="Picture 36"/>
            <wp:cNvGraphicFramePr>
              <a:graphicFrameLocks noChangeAspect="1"/>
            </wp:cNvGraphicFramePr>
            <a:graphic>
              <a:graphicData uri="http://schemas.openxmlformats.org/drawingml/2006/picture">
                <pic:pic>
                  <pic:nvPicPr>
                    <pic:cNvPr id="0" name="cycle_menstruel_schema.png"/>
                    <pic:cNvPicPr/>
                  </pic:nvPicPr>
                  <pic:blipFill>
                    <a:blip r:embed="rId41"/>
                    <a:stretch>
                      <a:fillRect/>
                    </a:stretch>
                  </pic:blipFill>
                  <pic:spPr>
                    <a:xfrm>
                      <a:off x="0" y="0"/>
                      <a:ext cx="4320000" cy="2411163"/>
                    </a:xfrm>
                    <a:prstGeom prst="rect"/>
                  </pic:spPr>
                </pic:pic>
              </a:graphicData>
            </a:graphic>
          </wp:inline>
        </w:drawing>
      </w:r>
    </w:p>
    <w:p>
      <w:pPr>
        <w:jc w:val="center"/>
      </w:pPr>
      <w:r>
        <w:rPr>
          <w:i/>
          <w:sz w:val="18"/>
        </w:rPr>
        <w:t>Le cycle menstruel de 28 jours : règles, phase folliculaire, ovulation et phase lutéale, avec l'évolution de la muqueuse utérine.</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7" name="Picture 37"/>
            <wp:cNvGraphicFramePr>
              <a:graphicFrameLocks noChangeAspect="1"/>
            </wp:cNvGraphicFramePr>
            <a:graphic>
              <a:graphicData uri="http://schemas.openxmlformats.org/drawingml/2006/picture">
                <pic:pic>
                  <pic:nvPicPr>
                    <pic:cNvPr id="0" name="img_seance39.png"/>
                    <pic:cNvPicPr/>
                  </pic:nvPicPr>
                  <pic:blipFill>
                    <a:blip r:embed="rId42"/>
                    <a:stretch>
                      <a:fillRect/>
                    </a:stretch>
                  </pic:blipFill>
                  <pic:spPr>
                    <a:xfrm>
                      <a:off x="0" y="0"/>
                      <a:ext cx="4320000" cy="2878691"/>
                    </a:xfrm>
                    <a:prstGeom prst="rect"/>
                  </pic:spPr>
                </pic:pic>
              </a:graphicData>
            </a:graphic>
          </wp:inline>
        </w:drawing>
      </w:r>
    </w:p>
    <w:p>
      <w:pPr>
        <w:jc w:val="center"/>
      </w:pPr>
      <w:r>
        <w:rPr>
          <w:i/>
          <w:sz w:val="18"/>
        </w:rPr>
        <w:t>L'utérus : le corps et le col.</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38" name="Picture 38"/>
            <wp:cNvGraphicFramePr>
              <a:graphicFrameLocks noChangeAspect="1"/>
            </wp:cNvGraphicFramePr>
            <a:graphic>
              <a:graphicData uri="http://schemas.openxmlformats.org/drawingml/2006/picture">
                <pic:pic>
                  <pic:nvPicPr>
                    <pic:cNvPr id="0" name="img_seance40.png"/>
                    <pic:cNvPicPr/>
                  </pic:nvPicPr>
                  <pic:blipFill>
                    <a:blip r:embed="rId43"/>
                    <a:stretch>
                      <a:fillRect/>
                    </a:stretch>
                  </pic:blipFill>
                  <pic:spPr>
                    <a:xfrm>
                      <a:off x="0" y="0"/>
                      <a:ext cx="4320000" cy="2368145"/>
                    </a:xfrm>
                    <a:prstGeom prst="rect"/>
                  </pic:spPr>
                </pic:pic>
              </a:graphicData>
            </a:graphic>
          </wp:inline>
        </w:drawing>
      </w:r>
    </w:p>
    <w:p>
      <w:pPr>
        <w:jc w:val="center"/>
      </w:pPr>
      <w:r>
        <w:rPr>
          <w:i/>
          <w:sz w:val="18"/>
        </w:rPr>
        <w:t>Dépistage et vaccination : deux protections complémentaires.</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9" name="Picture 39"/>
            <wp:cNvGraphicFramePr>
              <a:graphicFrameLocks noChangeAspect="1"/>
            </wp:cNvGraphicFramePr>
            <a:graphic>
              <a:graphicData uri="http://schemas.openxmlformats.org/drawingml/2006/picture">
                <pic:pic>
                  <pic:nvPicPr>
                    <pic:cNvPr id="0" name="img_seance41.png"/>
                    <pic:cNvPicPr/>
                  </pic:nvPicPr>
                  <pic:blipFill>
                    <a:blip r:embed="rId44"/>
                    <a:stretch>
                      <a:fillRect/>
                    </a:stretch>
                  </pic:blipFill>
                  <pic:spPr>
                    <a:xfrm>
                      <a:off x="0" y="0"/>
                      <a:ext cx="4320000" cy="2878691"/>
                    </a:xfrm>
                    <a:prstGeom prst="rect"/>
                  </pic:spPr>
                </pic:pic>
              </a:graphicData>
            </a:graphic>
          </wp:inline>
        </w:drawing>
      </w:r>
    </w:p>
    <w:p>
      <w:pPr>
        <w:jc w:val="center"/>
      </w:pPr>
      <w:r>
        <w:rPr>
          <w:i/>
          <w:sz w:val="18"/>
        </w:rPr>
        <w:t>Concevoir une affiche de sensibilisation pour son école.</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40" name="Picture 40"/>
            <wp:cNvGraphicFramePr>
              <a:graphicFrameLocks noChangeAspect="1"/>
            </wp:cNvGraphicFramePr>
            <a:graphic>
              <a:graphicData uri="http://schemas.openxmlformats.org/drawingml/2006/picture">
                <pic:pic>
                  <pic:nvPicPr>
                    <pic:cNvPr id="0" name="img_seance44.png"/>
                    <pic:cNvPicPr/>
                  </pic:nvPicPr>
                  <pic:blipFill>
                    <a:blip r:embed="rId45"/>
                    <a:stretch>
                      <a:fillRect/>
                    </a:stretch>
                  </pic:blipFill>
                  <pic:spPr>
                    <a:xfrm>
                      <a:off x="0" y="0"/>
                      <a:ext cx="4320000" cy="2368145"/>
                    </a:xfrm>
                    <a:prstGeom prst="rect"/>
                  </pic:spPr>
                </pic:pic>
              </a:graphicData>
            </a:graphic>
          </wp:inline>
        </w:drawing>
      </w:r>
    </w:p>
    <w:p>
      <w:pPr>
        <w:jc w:val="center"/>
      </w:pPr>
      <w:r>
        <w:rPr>
          <w:i/>
          <w:sz w:val="18"/>
        </w:rPr>
        <w:t>Pierres précieuses, pierres fines et pierres organiques.</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1" name="Picture 41"/>
            <wp:cNvGraphicFramePr>
              <a:graphicFrameLocks noChangeAspect="1"/>
            </wp:cNvGraphicFramePr>
            <a:graphic>
              <a:graphicData uri="http://schemas.openxmlformats.org/drawingml/2006/picture">
                <pic:pic>
                  <pic:nvPicPr>
                    <pic:cNvPr id="0" name="img_seance45.png"/>
                    <pic:cNvPicPr/>
                  </pic:nvPicPr>
                  <pic:blipFill>
                    <a:blip r:embed="rId46"/>
                    <a:stretch>
                      <a:fillRect/>
                    </a:stretch>
                  </pic:blipFill>
                  <pic:spPr>
                    <a:xfrm>
                      <a:off x="0" y="0"/>
                      <a:ext cx="4320000" cy="2878691"/>
                    </a:xfrm>
                    <a:prstGeom prst="rect"/>
                  </pic:spPr>
                </pic:pic>
              </a:graphicData>
            </a:graphic>
          </wp:inline>
        </w:drawing>
      </w:r>
    </w:p>
    <w:p>
      <w:pPr>
        <w:jc w:val="center"/>
      </w:pPr>
      <w:r>
        <w:rPr>
          <w:i/>
          <w:sz w:val="18"/>
        </w:rPr>
        <w:t>Dureté, éclat et transparence : les propriétés physiques des gemmes.</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42" name="Picture 42"/>
            <wp:cNvGraphicFramePr>
              <a:graphicFrameLocks noChangeAspect="1"/>
            </wp:cNvGraphicFramePr>
            <a:graphic>
              <a:graphicData uri="http://schemas.openxmlformats.org/drawingml/2006/picture">
                <pic:pic>
                  <pic:nvPicPr>
                    <pic:cNvPr id="0" name="img_seance46.png"/>
                    <pic:cNvPicPr/>
                  </pic:nvPicPr>
                  <pic:blipFill>
                    <a:blip r:embed="rId47"/>
                    <a:stretch>
                      <a:fillRect/>
                    </a:stretch>
                  </pic:blipFill>
                  <pic:spPr>
                    <a:xfrm>
                      <a:off x="0" y="0"/>
                      <a:ext cx="4320000" cy="6480000"/>
                    </a:xfrm>
                    <a:prstGeom prst="rect"/>
                  </pic:spPr>
                </pic:pic>
              </a:graphicData>
            </a:graphic>
          </wp:inline>
        </w:drawing>
      </w:r>
    </w:p>
    <w:p>
      <w:pPr>
        <w:jc w:val="center"/>
      </w:pPr>
      <w:r>
        <w:rPr>
          <w:i/>
          <w:sz w:val="18"/>
        </w:rPr>
        <w:t>Les principaux gisements de pierres gemmes à Madagascar : saphir dans le Sud (bleu), rubis dans l'Est et le Centre-Est (rouge), tourmaline et béryl dans le Centre (vert), émeraude sur la côte Est (violet), labradorite au Nord-Ouest (orange).</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3" name="Picture 43"/>
            <wp:cNvGraphicFramePr>
              <a:graphicFrameLocks noChangeAspect="1"/>
            </wp:cNvGraphicFramePr>
            <a:graphic>
              <a:graphicData uri="http://schemas.openxmlformats.org/drawingml/2006/picture">
                <pic:pic>
                  <pic:nvPicPr>
                    <pic:cNvPr id="0" name="img_seance47.png"/>
                    <pic:cNvPicPr/>
                  </pic:nvPicPr>
                  <pic:blipFill>
                    <a:blip r:embed="rId48"/>
                    <a:stretch>
                      <a:fillRect/>
                    </a:stretch>
                  </pic:blipFill>
                  <pic:spPr>
                    <a:xfrm>
                      <a:off x="0" y="0"/>
                      <a:ext cx="4320000" cy="2878691"/>
                    </a:xfrm>
                    <a:prstGeom prst="rect"/>
                  </pic:spPr>
                </pic:pic>
              </a:graphicData>
            </a:graphic>
          </wp:inline>
        </w:drawing>
      </w:r>
    </w:p>
    <w:p>
      <w:pPr>
        <w:jc w:val="center"/>
      </w:pPr>
      <w:r>
        <w:rPr>
          <w:i/>
          <w:sz w:val="18"/>
        </w:rPr>
        <w:t>Joaillerie et usages industriels des pierres gemmes.</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4" name="Picture 44"/>
            <wp:cNvGraphicFramePr>
              <a:graphicFrameLocks noChangeAspect="1"/>
            </wp:cNvGraphicFramePr>
            <a:graphic>
              <a:graphicData uri="http://schemas.openxmlformats.org/drawingml/2006/picture">
                <pic:pic>
                  <pic:nvPicPr>
                    <pic:cNvPr id="0" name="img_seance48.png"/>
                    <pic:cNvPicPr/>
                  </pic:nvPicPr>
                  <pic:blipFill>
                    <a:blip r:embed="rId49"/>
                    <a:stretch>
                      <a:fillRect/>
                    </a:stretch>
                  </pic:blipFill>
                  <pic:spPr>
                    <a:xfrm>
                      <a:off x="0" y="0"/>
                      <a:ext cx="4320000" cy="2878691"/>
                    </a:xfrm>
                    <a:prstGeom prst="rect"/>
                  </pic:spPr>
                </pic:pic>
              </a:graphicData>
            </a:graphic>
          </wp:inline>
        </w:drawing>
      </w:r>
    </w:p>
    <w:p>
      <w:pPr>
        <w:jc w:val="center"/>
      </w:pPr>
      <w:r>
        <w:rPr>
          <w:i/>
          <w:sz w:val="18"/>
        </w:rPr>
        <w:t>Extraction artisanale et extraction industrielle.</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5" name="Picture 45"/>
            <wp:cNvGraphicFramePr>
              <a:graphicFrameLocks noChangeAspect="1"/>
            </wp:cNvGraphicFramePr>
            <a:graphic>
              <a:graphicData uri="http://schemas.openxmlformats.org/drawingml/2006/picture">
                <pic:pic>
                  <pic:nvPicPr>
                    <pic:cNvPr id="0" name="img_seance49.png"/>
                    <pic:cNvPicPr/>
                  </pic:nvPicPr>
                  <pic:blipFill>
                    <a:blip r:embed="rId50"/>
                    <a:stretch>
                      <a:fillRect/>
                    </a:stretch>
                  </pic:blipFill>
                  <pic:spPr>
                    <a:xfrm>
                      <a:off x="0" y="0"/>
                      <a:ext cx="4320000" cy="2878691"/>
                    </a:xfrm>
                    <a:prstGeom prst="rect"/>
                  </pic:spPr>
                </pic:pic>
              </a:graphicData>
            </a:graphic>
          </wp:inline>
        </w:drawing>
      </w:r>
    </w:p>
    <w:p>
      <w:pPr>
        <w:jc w:val="center"/>
      </w:pPr>
      <w:r>
        <w:rPr>
          <w:i/>
          <w:sz w:val="18"/>
        </w:rPr>
        <w:t>Conséquences de l'exploitation minière sur les sols et les rivières.</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Loharanom-Baovao — Bibliographie générale</w:t>
      </w:r>
    </w:p>
    <w:p>
      <w:pPr>
        <w:spacing w:after="80"/>
      </w:pPr>
      <w:r>
        <w:rPr>
          <w:b w:val="0"/>
          <w:i w:val="0"/>
        </w:rPr>
        <w:t>Sources ayant servi à établir ou à vérifier le contenu du manuel. Les blocs</w:t>
      </w:r>
    </w:p>
    <w:p>
      <w:pPr>
        <w:spacing w:after="80"/>
      </w:pPr>
      <w:r>
        <w:rPr>
          <w:b w:val="0"/>
          <w:i/>
        </w:rPr>
        <w:t>Documentation</w:t>
      </w:r>
      <w:r>
        <w:rPr>
          <w:b w:val="0"/>
          <w:i w:val="0"/>
        </w:rPr>
        <w:t xml:space="preserve"> de chaque unité précisent, eux, quelle source a servi à quelle</w:t>
      </w:r>
    </w:p>
    <w:p>
      <w:pPr>
        <w:spacing w:after="80"/>
      </w:pPr>
      <w:r>
        <w:rPr>
          <w:b w:val="0"/>
          <w:i w:val="0"/>
        </w:rPr>
        <w:t>séance. Les données chiffrées des exercices sont fictives : elles ne décrivent</w:t>
      </w:r>
    </w:p>
    <w:p>
      <w:pPr>
        <w:spacing w:after="80"/>
      </w:pPr>
      <w:r>
        <w:rPr>
          <w:b w:val="0"/>
          <w:i w:val="0"/>
        </w:rPr>
        <w:t>aucune personne, aucun district ni aucune coopérative réels.</w:t>
      </w:r>
    </w:p>
    <w:p>
      <w:pPr>
        <w:spacing w:after="80"/>
      </w:pPr>
      <w:r>
        <w:rPr>
          <w:b/>
          <w:i w:val="0"/>
        </w:rPr>
        <w:t>Référentiel officiel</w:t>
      </w:r>
    </w:p>
    <w:p>
      <w:pPr>
        <w:pStyle w:val="ListBullet"/>
        <w:spacing w:after="40"/>
      </w:pPr>
      <w:r>
        <w:rPr>
          <w:b/>
          <w:i w:val="0"/>
        </w:rPr>
        <w:t>Programme d'Études — Classe de T9, Sciences de la vie et de la terre</w:t>
      </w:r>
      <w:r>
        <w:rPr>
          <w:b w:val="0"/>
          <w:i w:val="0"/>
        </w:rPr>
        <w:t>, DCRP — résultats attendus, contenus, stratégies, supports, valeurs à véhiculer, volume horaire.</w:t>
      </w:r>
    </w:p>
    <w:p>
      <w:pPr>
        <w:spacing w:after="80"/>
      </w:pPr>
      <w:r>
        <w:rPr>
          <w:b/>
          <w:i w:val="0"/>
        </w:rPr>
        <w:t>Alimentation et nutrition (Unité I)</w:t>
      </w:r>
    </w:p>
    <w:p>
      <w:pPr>
        <w:pStyle w:val="ListBullet"/>
        <w:spacing w:after="40"/>
      </w:pPr>
      <w:r>
        <w:rPr>
          <w:b/>
          <w:i w:val="0"/>
        </w:rPr>
        <w:t>FAO / INFOODS</w:t>
      </w:r>
      <w:r>
        <w:rPr>
          <w:b w:val="0"/>
          <w:i w:val="0"/>
        </w:rPr>
        <w:t xml:space="preserve"> — tables de composition des aliments ; coefficients d'Atwater (glucides 4 kcal/g, protéines 4 kcal/g, lipides 9 kcal/g).</w:t>
      </w:r>
    </w:p>
    <w:p>
      <w:pPr>
        <w:pStyle w:val="ListBullet"/>
        <w:spacing w:after="40"/>
      </w:pPr>
      <w:r>
        <w:rPr>
          <w:b/>
          <w:i w:val="0"/>
        </w:rPr>
        <w:t>Organisation mondiale de la Santé</w:t>
      </w:r>
      <w:r>
        <w:rPr>
          <w:b w:val="0"/>
          <w:i w:val="0"/>
        </w:rPr>
        <w:t xml:space="preserve"> — repères de malnutrition aiguë, de carences et de surpoids.</w:t>
      </w:r>
    </w:p>
    <w:p>
      <w:pPr>
        <w:spacing w:after="80"/>
      </w:pPr>
      <w:r>
        <w:rPr>
          <w:b/>
          <w:i w:val="0"/>
        </w:rPr>
        <w:t>Agriculture et élevage (Unité II)</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xml:space="preserve"> — essais d'amélioration de l'aviculture villageoise à Madagascar : ponte, viabilité des poussins.</w:t>
      </w:r>
    </w:p>
    <w:p>
      <w:pPr>
        <w:pStyle w:val="ListBullet"/>
        <w:spacing w:after="40"/>
      </w:pPr>
      <w:r>
        <w:rPr>
          <w:b/>
          <w:i w:val="0"/>
        </w:rPr>
        <w:t>FAO</w:t>
      </w:r>
      <w:r>
        <w:rPr>
          <w:b w:val="0"/>
          <w:i w:val="0"/>
        </w:rPr>
        <w:t xml:space="preserve"> — vaccination contre la maladie de Newcastle en milieu villageois : délais d'immunité, périodicité.</w:t>
      </w:r>
    </w:p>
    <w:p>
      <w:pPr>
        <w:pStyle w:val="ListBullet"/>
        <w:spacing w:after="40"/>
      </w:pPr>
      <w:r>
        <w:rPr>
          <w:b/>
          <w:i w:val="0"/>
        </w:rPr>
        <w:t>CIRAD</w:t>
      </w:r>
      <w:r>
        <w:rPr>
          <w:b w:val="0"/>
          <w:i w:val="0"/>
        </w:rPr>
        <w:t xml:space="preserve"> — élevage bovin à Madagascar : conduite du zébu, complémentation en saison sèche.</w:t>
      </w:r>
    </w:p>
    <w:p>
      <w:pPr>
        <w:pStyle w:val="ListBullet"/>
        <w:spacing w:after="40"/>
      </w:pPr>
      <w:r>
        <w:rPr>
          <w:b w:val="0"/>
          <w:i w:val="0"/>
        </w:rPr>
        <w:t xml:space="preserve">Travaux de </w:t>
      </w:r>
      <w:r>
        <w:rPr>
          <w:b/>
          <w:i w:val="0"/>
        </w:rPr>
        <w:t>Dutrochet</w:t>
      </w:r>
      <w:r>
        <w:rPr>
          <w:b w:val="0"/>
          <w:i w:val="0"/>
        </w:rPr>
        <w:t xml:space="preserve"> sur l'osmose (Académie des sciences, 1826) ; solution minérale de </w:t>
      </w:r>
      <w:r>
        <w:rPr>
          <w:b/>
          <w:i w:val="0"/>
        </w:rPr>
        <w:t>Knop</w:t>
      </w:r>
      <w:r>
        <w:rPr>
          <w:b w:val="0"/>
          <w:i w:val="0"/>
        </w:rPr>
        <w:t xml:space="preserve"> et </w:t>
      </w:r>
      <w:r>
        <w:rPr>
          <w:b/>
          <w:i w:val="0"/>
        </w:rPr>
        <w:t>von Sachs</w:t>
      </w:r>
      <w:r>
        <w:rPr>
          <w:b w:val="0"/>
          <w:i w:val="0"/>
        </w:rPr>
        <w:t xml:space="preserve"> (1860-1865).</w:t>
      </w:r>
    </w:p>
    <w:p>
      <w:pPr>
        <w:pStyle w:val="ListBullet"/>
        <w:spacing w:after="40"/>
      </w:pPr>
      <w:r>
        <w:rPr>
          <w:b w:val="0"/>
          <w:i w:val="0"/>
        </w:rPr>
        <w:t xml:space="preserve">Inventaire botanique des plantes de Madagascar — distinction </w:t>
      </w:r>
      <w:r>
        <w:rPr>
          <w:b w:val="0"/>
          <w:i/>
        </w:rPr>
        <w:t>Voandelaka</w:t>
      </w:r>
      <w:r>
        <w:rPr>
          <w:b w:val="0"/>
          <w:i w:val="0"/>
        </w:rPr>
        <w:t xml:space="preserve"> (</w:t>
      </w:r>
      <w:r>
        <w:rPr>
          <w:b w:val="0"/>
          <w:i/>
        </w:rPr>
        <w:t>Melia azedarach</w:t>
      </w:r>
      <w:r>
        <w:rPr>
          <w:b w:val="0"/>
          <w:i w:val="0"/>
        </w:rPr>
        <w:t>) / neem (</w:t>
      </w:r>
      <w:r>
        <w:rPr>
          <w:b w:val="0"/>
          <w:i/>
        </w:rPr>
        <w:t>Azadirachta indica</w:t>
      </w:r>
      <w:r>
        <w:rPr>
          <w:b w:val="0"/>
          <w:i w:val="0"/>
        </w:rPr>
        <w:t>) et toxicité.</w:t>
      </w:r>
    </w:p>
    <w:p>
      <w:pPr>
        <w:spacing w:after="80"/>
      </w:pPr>
      <w:r>
        <w:rPr>
          <w:b/>
          <w:i w:val="0"/>
        </w:rPr>
        <w:t>Santé et bien-être (Unité III)</w:t>
      </w:r>
    </w:p>
    <w:p>
      <w:pPr>
        <w:pStyle w:val="ListBullet"/>
        <w:spacing w:after="40"/>
      </w:pPr>
      <w:r>
        <w:rPr>
          <w:b w:val="0"/>
          <w:i w:val="0"/>
        </w:rPr>
        <w:t xml:space="preserve">Travaux de </w:t>
      </w:r>
      <w:r>
        <w:rPr>
          <w:b/>
          <w:i w:val="0"/>
        </w:rPr>
        <w:t>Pavlov</w:t>
      </w:r>
      <w:r>
        <w:rPr>
          <w:b w:val="0"/>
          <w:i w:val="0"/>
        </w:rPr>
        <w:t xml:space="preserve"> sur le réflexe conditionné (à partir de 1889).</w:t>
      </w:r>
    </w:p>
    <w:p>
      <w:pPr>
        <w:pStyle w:val="ListBullet"/>
        <w:spacing w:after="40"/>
      </w:pPr>
      <w:r>
        <w:rPr>
          <w:b/>
          <w:i w:val="0"/>
        </w:rPr>
        <w:t>National Sleep Foundation</w:t>
      </w:r>
      <w:r>
        <w:rPr>
          <w:b w:val="0"/>
          <w:i w:val="0"/>
        </w:rPr>
        <w:t xml:space="preserve"> — durées de sommeil recommandées par tranche d'âge.</w:t>
      </w:r>
    </w:p>
    <w:p>
      <w:pPr>
        <w:pStyle w:val="ListBullet"/>
        <w:spacing w:after="40"/>
      </w:pPr>
      <w:r>
        <w:rPr>
          <w:b w:val="0"/>
          <w:i w:val="0"/>
        </w:rPr>
        <w:t>Classification en santé publique des substances psychoactives (dépresseurs, stimulants, perturbateurs).</w:t>
      </w:r>
    </w:p>
    <w:p>
      <w:pPr>
        <w:spacing w:after="80"/>
      </w:pPr>
      <w:r>
        <w:rPr>
          <w:b/>
          <w:i w:val="0"/>
        </w:rPr>
        <w:t>Reproduction humaine (Unité IV)</w:t>
      </w:r>
    </w:p>
    <w:p>
      <w:pPr>
        <w:pStyle w:val="ListBullet"/>
        <w:spacing w:after="40"/>
      </w:pPr>
      <w:r>
        <w:rPr>
          <w:b/>
          <w:i w:val="0"/>
        </w:rPr>
        <w:t>Organisation mondiale de la Santé</w:t>
      </w:r>
      <w:r>
        <w:rPr>
          <w:b w:val="0"/>
          <w:i w:val="0"/>
        </w:rPr>
        <w:t xml:space="preserve"> — stratégie d'élimination du cancer du col de l'utérus ; vaccination anti-HPV des filles de 9 à 14 ans ; dépistage à partir de 30 ans (25 ans en cas de VIH) ; suivi prénatal (au moins huit contacts).</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distinction avec le cancer de l'endomètre.</w:t>
      </w:r>
    </w:p>
    <w:p>
      <w:pPr>
        <w:spacing w:after="80"/>
      </w:pPr>
      <w:r>
        <w:rPr>
          <w:b/>
          <w:i w:val="0"/>
        </w:rPr>
        <w:t>Géologie (Unité V)</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 genèse des gisements de corindons malgaches.</w:t>
      </w:r>
    </w:p>
    <w:p>
      <w:pPr>
        <w:pStyle w:val="ListBullet"/>
        <w:spacing w:after="40"/>
      </w:pPr>
      <w:r>
        <w:rPr>
          <w:b w:val="0"/>
          <w:i w:val="0"/>
        </w:rPr>
        <w:t>Documentation gemmologique publique — gisements d'Ilakaka, d'Andilamena et d'Antsirabe.</w:t>
      </w:r>
    </w:p>
    <w:p>
      <w:pPr>
        <w:spacing w:after="80"/>
      </w:pPr>
      <w:r>
        <w:rPr>
          <w:b/>
          <w:i w:val="0"/>
        </w:rPr>
        <w:t>Méthode</w:t>
      </w:r>
    </w:p>
    <w:p>
      <w:pPr>
        <w:pStyle w:val="ListBullet"/>
        <w:spacing w:after="40"/>
      </w:pPr>
      <w:r>
        <w:rPr>
          <w:b w:val="0"/>
          <w:i w:val="0"/>
        </w:rPr>
        <w:t xml:space="preserve">Skill </w:t>
      </w:r>
      <w:r>
        <w:rPr>
          <w:b/>
          <w:i w:val="0"/>
        </w:rPr>
        <w:t>`jlearn-manuel-scolaire` v18</w:t>
      </w:r>
      <w:r>
        <w:rPr>
          <w:b w:val="0"/>
          <w:i w:val="0"/>
        </w:rPr>
        <w:t xml:space="preserve"> — structure de fiche, barème, règles de rédaction et d'illustration.</w:t>
      </w:r>
    </w:p>
    <w:p>
      <w:pPr>
        <w:pStyle w:val="Heading2"/>
        <w:spacing w:before="200" w:after="100"/>
      </w:pPr>
      <w:r>
        <w:rPr>
          <w:b/>
          <w:i w:val="0"/>
          <w:color w:val="C00000"/>
          <w:sz w:val="28"/>
        </w:rPr>
        <w:t>Table des illustrations</w:t>
      </w:r>
    </w:p>
    <w:p>
      <w:pPr>
        <w:spacing w:after="80"/>
      </w:pPr>
      <w:r>
        <w:rPr>
          <w:b w:val="0"/>
          <w:i w:val="0"/>
        </w:rPr>
        <w:t xml:space="preserve">Le manuel compte </w:t>
      </w:r>
      <w:r>
        <w:rPr>
          <w:b/>
          <w:i w:val="0"/>
        </w:rPr>
        <w:t>45 illustrations</w:t>
      </w:r>
      <w:r>
        <w:rPr>
          <w:b w:val="0"/>
          <w:i w:val="0"/>
        </w:rPr>
        <w:t>. Aucune ne porte de texte incrusté : les légendes sont ici, dans le fichier source, où elles restent corrigeables et traduisibles. Plusieurs schémas sont muets à dessein, pour servir d'exercices à légender.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Fichier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repas malgache complet : riz, brèdes, haricots, poisson, tomate et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Trois aliments, trois nutriments dominants : le riz (glucides), l'huile et l'arachide (lipides), le poisson et les haricots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et légumes riches en vitamines et en sels minéraux, et l'eau, indispensable chaque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gramme de glucides ou de protéines libère 4 kcal ; un gramme de lipides en libère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dépense de l'énergie même au repos : c'est le 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besoins énergétiques varient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menu équilibré de la journée : petit-déjeuner, déjeuner et 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alimentation équilibrée soutient la croissance et l'attention en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Signes de malnutrition aiguë et aliments riches en protéines qui permettent d'y remédier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et obésité : l'excès d'aliments gras et sucrés associé au manque d'activité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organes d'une plante à fleurs : la racine dans le sol, la tige, les feuilles et la fleur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plante_organes.png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la coiffe, la zone de croissance, la zone des poils absorbants et les 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soins aux cultures : arrosage, sarclage, désherbage et 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Morphologie d'un criquet : tête, thorax, abdomen, pattes sauteuses et mandibules broyeuses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criquet_morphologie.png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rat des champs rongeant des grains : museau, moustaches, incisives, oreilles, pattes griffues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rat_champ.png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d'un extrait naturel de neem pour protéger les cultures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L'usage responsable des produits chimiques exige des protections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d'une poule : crête, bec, ailes, queue et pattes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svt9e_poule.png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 : cornes, bosse, fanon, sabots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et habitat d'un élevage de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vaccination et le déparasitage protègent le troupeau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quatre zones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L'organisation du système nerveux : encéphale, moelle épinière et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 cervelet, bulbe rachidien et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inné : la main se retire avant toute réflexion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acquis s'installe par la répétition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mouvement volontaire est commandé par le 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trajet du message nerveux au cours d'un réflexe : la voie sensitive en bleu monte vers la moelle épinière, la voie motrice en rouge en redescend vers le 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catégories de substances psychoactives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Effets des substances psychoactives sur l'organisme et la vie sociale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Hygiène du système nerveux : sommeil, alimentation et activité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L'arc réflexe : le trajet du message nerveux, cinq éléments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L'appareil génital féminin : repères anatomiques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suivi prénatal permet de prévenir les complications de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cycle menstruel de 28 jours : règles, phase folliculaire, ovulation et phase lutéale, avec l'évolution de la muqueuse utérine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cycle_menstruel_schema.png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L'utérus : le corps et le col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Dépistage et vaccination : deux protections complémentaires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Concevoir une affiche de sensibilisation pour son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Pierres précieuses, pierres fines et 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éclat et transparence : les propriétés physiques des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principaux gisements de pierres gemmes à Madagascar : saphir dans le Sud (bleu), rubis dans l'Est et le Centre-Est (rouge), tourmaline et béryl dans le Centre (vert), émeraude sur la côte Est (violet), labradorite au Nord-Ouest (orange)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Joaillerie et usages industriels des pierres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artisanale et extraction industrielle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Conséquences de l'exploitation minière sur les sols et les rivières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img_seance49.png</w:t>
            </w:r>
          </w:p>
        </w:tc>
      </w:tr>
    </w:tbl>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 et la part des lipides de la séance 6 (765 ÷ 2 185 = 35,0 %, arrondi à 35 %).</w:t>
      </w:r>
    </w:p>
    <w:p>
      <w:pPr>
        <w:spacing w:after="80"/>
      </w:pPr>
      <w:r>
        <w:rPr>
          <w:b/>
          <w:i w:val="0"/>
        </w:rPr>
        <w:t>Quatrième item ajouté aux 9 études de cas</w:t>
      </w:r>
      <w:r>
        <w:rPr>
          <w:b w:val="0"/>
          <w:i w:val="0"/>
        </w:rPr>
        <w:t xml:space="preserve"> (chantier P0, exercice 3). Les consignes 1 à 3 restaient descriptives ; le nouvel item demande à l'élève de </w:t>
      </w:r>
      <w:r>
        <w:rPr>
          <w:b/>
          <w:i w:val="0"/>
        </w:rPr>
        <w:t>réfuter une affirmation plausible</w:t>
      </w:r>
      <w:r>
        <w:rPr>
          <w:b w:val="0"/>
          <w:i w:val="0"/>
        </w:rPr>
        <w:t xml:space="preserve"> — « trois aliments donc ration variée » (S1), « le test du papier révèle les protéines » (S2), « manger plus de riz contre la fatigue » (S3), « assis donc besoins nuls » (S5), « ils mangent à leur faim » (S9), « supprimer toutes les matières grasses » (S10). Ce sont les erreurs réellement commises en classe, pas des négations artificielles.</w:t>
      </w:r>
    </w:p>
    <w:p>
      <w:r>
        <w:br w:type="page"/>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les ressources consultées.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