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pied de haricot arraché : on distingue déjà les racines, la tige et les feuilles.</w:t>
      </w:r>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L'organisation d'une plante à fleurs : racine, tige, feuille, fleur/fruit/graine.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sous-bois humide malgache après la pluie : mousses, fougères et champignons.</w:t>
      </w:r>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19"/>
        </w:rPr>
        <w:t>Les quatre familles de plantes sans fleurs : mousse, fougère, algue, champignon.</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Rizières et champ de haricots sur les Hautes Terres : deux grandes familles de plantes.</w:t>
      </w:r>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Comparaison monocotylédone / dicotylédone : nervures, cotylédons, racines.</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observent et classent des plantes locales à la loupe.</w:t>
      </w:r>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démarche de classification, étape par étape.</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marché malgache : plantes médicinales, ornementales et alimentaires côte à côte.</w:t>
      </w:r>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Trois rôles des plantes : médicinal, ornemental, alimentaire.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canne à sucre partagée lors d'un famorana : un rôle symbolique fort.</w:t>
      </w:r>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riz partagé en famille lors d'une grande cérémonie malgache.</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Colline boisée contre colline érodée : l'impact de la disparition des plantes.</w:t>
      </w:r>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racines protègent le sol ; le feuillage abrite les animaux.</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Interroger sa famille : une source précieuse de connaissances sur les plantes locales.</w:t>
      </w:r>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Exemple de fiche de synthèse illustrée : le ravintsara.</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