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5000" w:name="annexes"/>
      <w:pPr>
        <w:jc w:val="center"/>
      </w:pPr>
      <w:r>
        <w:rPr>
          <w:rFonts w:ascii="Times New Roman" w:hAnsi="Times New Roman"/>
          <w:b/>
          <w:color w:val="C00000"/>
          <w:sz w:val="44"/>
        </w:rPr>
        <w:t>ANNEXES — MATHÉMATIQUES T5</w:t>
      </w:r>
      <w:bookmarkEnd w:id="5000"/>
    </w:p>
    <w:p>
      <w:pPr>
        <w:jc w:val="both"/>
      </w:pPr>
      <w:r>
        <w:rPr>
          <w:rFonts w:ascii="Times New Roman" w:hAnsi="Times New Roman"/>
          <w:b w:val="0"/>
          <w:sz w:val="24"/>
        </w:rPr>
        <w:t>Synthèse des notions étudiées dans les six unités, en préparation de l’examen du CEPE.</w:t>
      </w:r>
    </w:p>
    <w:p>
      <w:r>
        <w:br w:type="page"/>
      </w:r>
    </w:p>
    <w:p>
      <w:bookmarkStart w:id="5001" w:name="annexe1"/>
      <w:pPr>
        <w:jc w:val="center"/>
      </w:pPr>
      <w:r>
        <w:rPr>
          <w:rFonts w:ascii="Times New Roman" w:hAnsi="Times New Roman"/>
          <w:b/>
          <w:color w:val="C00000"/>
          <w:sz w:val="36"/>
        </w:rPr>
        <w:t>ANNEXE 1 — GLOSSAIRE</w:t>
      </w:r>
      <w:bookmarkEnd w:id="5001"/>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5002" w:name="annexe2"/>
      <w:pPr>
        <w:jc w:val="center"/>
      </w:pPr>
      <w:r>
        <w:rPr>
          <w:rFonts w:ascii="Times New Roman" w:hAnsi="Times New Roman"/>
          <w:b/>
          <w:color w:val="C00000"/>
          <w:sz w:val="36"/>
        </w:rPr>
        <w:t>ANNEXE 2 — FORMULES ET PROPRIÉTÉS</w:t>
      </w:r>
      <w:bookmarkEnd w:id="500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5003" w:name="annexe3"/>
      <w:pPr>
        <w:jc w:val="center"/>
      </w:pPr>
      <w:r>
        <w:rPr>
          <w:rFonts w:ascii="Times New Roman" w:hAnsi="Times New Roman"/>
          <w:b/>
          <w:color w:val="C00000"/>
          <w:sz w:val="36"/>
        </w:rPr>
        <w:t>ANNEXE 3 — RÉSUMÉ DES MÉTHODES</w:t>
      </w:r>
      <w:bookmarkEnd w:id="5003"/>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5004" w:name="annexe4"/>
      <w:pPr>
        <w:jc w:val="center"/>
      </w:pPr>
      <w:r>
        <w:rPr>
          <w:rFonts w:ascii="Times New Roman" w:hAnsi="Times New Roman"/>
          <w:b/>
          <w:color w:val="C00000"/>
          <w:sz w:val="36"/>
        </w:rPr>
        <w:t>ANNEXE 4 — AUTO-ÉVALUATION</w:t>
      </w:r>
      <w:bookmarkEnd w:id="500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5005" w:name="annexe5"/>
      <w:pPr>
        <w:jc w:val="center"/>
      </w:pPr>
      <w:r>
        <w:rPr>
          <w:rFonts w:ascii="Times New Roman" w:hAnsi="Times New Roman"/>
          <w:b/>
          <w:color w:val="C00000"/>
          <w:sz w:val="36"/>
        </w:rPr>
        <w:t>ANNEXE 5 — INDEX</w:t>
      </w:r>
      <w:bookmarkEnd w:id="5005"/>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5006" w:name="annexe6"/>
      <w:pPr>
        <w:jc w:val="center"/>
      </w:pPr>
      <w:r>
        <w:rPr>
          <w:rFonts w:ascii="Times New Roman" w:hAnsi="Times New Roman"/>
          <w:b/>
          <w:color w:val="C00000"/>
          <w:sz w:val="36"/>
        </w:rPr>
        <w:t>ANNEXE 6 — ÉVALUATIONS FORMAT CEPE</w:t>
      </w:r>
      <w:bookmarkEnd w:id="5006"/>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5007" w:name="sources"/>
      <w:pPr>
        <w:jc w:val="center"/>
      </w:pPr>
      <w:r>
        <w:rPr>
          <w:rFonts w:ascii="Times New Roman" w:hAnsi="Times New Roman"/>
          <w:b/>
          <w:color w:val="C00000"/>
          <w:sz w:val="36"/>
        </w:rPr>
        <w:t>BIBLIOGRAPHIE ET WEBOGRAPHIE</w:t>
      </w:r>
      <w:bookmarkEnd w:id="5007"/>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