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numPr>
          <w:ilvl w:val="0"/>
          <w:numId w:val="1001"/>
        </w:numPr>
        <w:pStyle w:val="Compact"/>
      </w:pPr>
      <w:r>
        <w:t xml:space="preserve">Give an overview of the data:</w:t>
      </w:r>
    </w:p>
    <w:p>
      <w:pPr>
        <w:numPr>
          <w:ilvl w:val="1"/>
          <w:numId w:val="1002"/>
        </w:numPr>
        <w:pStyle w:val="Compact"/>
      </w:pPr>
      <w:r>
        <w:t xml:space="preserve">Summary of data content</w:t>
      </w:r>
    </w:p>
    <w:p>
      <w:pPr>
        <w:numPr>
          <w:ilvl w:val="1"/>
          <w:numId w:val="1002"/>
        </w:numPr>
        <w:pStyle w:val="Compact"/>
      </w:pPr>
      <w:r>
        <w:t xml:space="preserve">Interesting uses of the data</w:t>
      </w:r>
    </w:p>
    <w:p>
      <w:pPr>
        <w:numPr>
          <w:ilvl w:val="1"/>
          <w:numId w:val="1002"/>
        </w:numPr>
        <w:pStyle w:val="Compact"/>
      </w:pPr>
      <w:r>
        <w:t xml:space="preserve">Data provider and data host: name, location, and range of activities</w:t>
      </w:r>
    </w:p>
    <w:p>
      <w:pPr>
        <w:numPr>
          <w:ilvl w:val="1"/>
          <w:numId w:val="1002"/>
        </w:numPr>
        <w:pStyle w:val="Compact"/>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numPr>
          <w:ilvl w:val="0"/>
          <w:numId w:val="1001"/>
        </w:numPr>
        <w:pStyle w:val="Compact"/>
      </w:pPr>
      <w:r>
        <w:t xml:space="preserve">Briefly summarize key parameters and process of making data usable and accessible:</w:t>
      </w:r>
    </w:p>
    <w:p>
      <w:pPr>
        <w:numPr>
          <w:ilvl w:val="1"/>
          <w:numId w:val="1003"/>
        </w:numPr>
        <w:pStyle w:val="Compact"/>
      </w:pPr>
      <w:r>
        <w:t xml:space="preserve">Timeline and current status</w:t>
      </w:r>
    </w:p>
    <w:p>
      <w:pPr>
        <w:numPr>
          <w:ilvl w:val="1"/>
          <w:numId w:val="1003"/>
        </w:numPr>
        <w:pStyle w:val="Compact"/>
      </w:pPr>
      <w:r>
        <w:t xml:space="preserve">Hosting arrangement: data provider, researcher, or other third party?</w:t>
      </w:r>
    </w:p>
    <w:p>
      <w:pPr>
        <w:numPr>
          <w:ilvl w:val="1"/>
          <w:numId w:val="1003"/>
        </w:numPr>
        <w:pStyle w:val="Compact"/>
      </w:pPr>
      <w:r>
        <w:t xml:space="preserve">Cost and resources used, staffing</w:t>
      </w:r>
    </w:p>
    <w:p>
      <w:pPr>
        <w:numPr>
          <w:ilvl w:val="1"/>
          <w:numId w:val="1003"/>
        </w:numPr>
        <w:pStyle w:val="Compact"/>
      </w:pPr>
      <w:r>
        <w:t xml:space="preserve">Involved parties; e.g. data collectors and data curators (if different from data provider)</w:t>
      </w:r>
    </w:p>
    <w:p>
      <w:pPr>
        <w:numPr>
          <w:ilvl w:val="1"/>
          <w:numId w:val="1003"/>
        </w:numPr>
        <w:pStyle w:val="Compact"/>
      </w:pPr>
      <w:r>
        <w:t xml:space="preserve">Access modalities</w:t>
      </w:r>
    </w:p>
    <w:p>
      <w:pPr>
        <w:numPr>
          <w:ilvl w:val="0"/>
          <w:numId w:val="1001"/>
        </w:numPr>
        <w:pStyle w:val="Compact"/>
      </w:pPr>
      <w:r>
        <w:t xml:space="preserve">Summarize main insights and contributions of this chapter:</w:t>
      </w:r>
    </w:p>
    <w:p>
      <w:pPr>
        <w:numPr>
          <w:ilvl w:val="1"/>
          <w:numId w:val="1004"/>
        </w:numPr>
        <w:pStyle w:val="Compact"/>
      </w:pPr>
      <w:r>
        <w:t xml:space="preserve">Key conclusions and recommendations for others</w:t>
      </w:r>
    </w:p>
    <w:p>
      <w:pPr>
        <w:numPr>
          <w:ilvl w:val="1"/>
          <w:numId w:val="1004"/>
        </w:numPr>
        <w:pStyle w:val="Compact"/>
      </w:pPr>
      <w:r>
        <w:t xml:space="preserve">Any new resources or systems innovations described</w:t>
      </w:r>
    </w:p>
    <w:p>
      <w:pPr>
        <w:numPr>
          <w:ilvl w:val="1"/>
          <w:numId w:val="1004"/>
        </w:numPr>
        <w:pStyle w:val="Compact"/>
      </w:pPr>
      <w:r>
        <w:t xml:space="preserve">Potentially highlight elements not covered</w:t>
      </w:r>
    </w:p>
    <w:p>
      <w:pPr>
        <w:numPr>
          <w:ilvl w:val="0"/>
          <w:numId w:val="1001"/>
        </w:numPr>
        <w:pStyle w:val="Compact"/>
      </w:pPr>
      <w:r>
        <w:t xml:space="preserve">Reference/describe 1-3 main sources for the case study, if existing:</w:t>
      </w:r>
    </w:p>
    <w:p>
      <w:pPr>
        <w:numPr>
          <w:ilvl w:val="1"/>
          <w:numId w:val="1005"/>
        </w:numPr>
        <w:pStyle w:val="Compact"/>
      </w:pPr>
      <w:r>
        <w:t xml:space="preserve">Role of the authors in the process above</w:t>
      </w:r>
      <w:r>
        <w:br/>
      </w:r>
    </w:p>
    <w:p>
      <w:pPr>
        <w:numPr>
          <w:ilvl w:val="1"/>
          <w:numId w:val="1005"/>
        </w:numPr>
        <w:pStyle w:val="Compact"/>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numPr>
          <w:ilvl w:val="0"/>
          <w:numId w:val="1006"/>
        </w:numPr>
        <w:pStyle w:val="Compact"/>
      </w:pPr>
      <w:r>
        <w:t xml:space="preserve">Experiments were conducted using the data, in collaboration with the data provider or independently</w:t>
      </w:r>
    </w:p>
    <w:p>
      <w:pPr>
        <w:numPr>
          <w:ilvl w:val="0"/>
          <w:numId w:val="1006"/>
        </w:numPr>
        <w:pStyle w:val="Compact"/>
      </w:pPr>
      <w:r>
        <w:t xml:space="preserve">Administrative data was linked with other data sets or survey data</w:t>
      </w:r>
    </w:p>
    <w:p>
      <w:pPr>
        <w:numPr>
          <w:ilvl w:val="0"/>
          <w:numId w:val="1006"/>
        </w:numPr>
        <w:pStyle w:val="Compact"/>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numPr>
          <w:ilvl w:val="0"/>
          <w:numId w:val="1007"/>
        </w:numPr>
        <w:pStyle w:val="Compact"/>
      </w:pPr>
      <w:r>
        <w:t xml:space="preserve">Retrieving individual data records or operational data sets and standardizing formats</w:t>
      </w:r>
    </w:p>
    <w:p>
      <w:pPr>
        <w:numPr>
          <w:ilvl w:val="0"/>
          <w:numId w:val="1007"/>
        </w:numPr>
        <w:pStyle w:val="Compact"/>
      </w:pPr>
      <w:r>
        <w:t xml:space="preserve">Standardizing variables and matching records across data sets</w:t>
      </w:r>
    </w:p>
    <w:p>
      <w:pPr>
        <w:numPr>
          <w:ilvl w:val="0"/>
          <w:numId w:val="1007"/>
        </w:numPr>
        <w:pStyle w:val="Compact"/>
      </w:pPr>
      <w:r>
        <w:t xml:space="preserve">Cleaning, verification, reconciliation, and quality control</w:t>
      </w:r>
    </w:p>
    <w:p>
      <w:pPr>
        <w:numPr>
          <w:ilvl w:val="0"/>
          <w:numId w:val="1007"/>
        </w:numPr>
        <w:pStyle w:val="Compact"/>
      </w:pPr>
      <w:r>
        <w:t xml:space="preserve">Analysis file documentation</w:t>
      </w:r>
    </w:p>
    <w:p>
      <w:pPr>
        <w:numPr>
          <w:ilvl w:val="0"/>
          <w:numId w:val="1007"/>
        </w:numPr>
        <w:pStyle w:val="Compact"/>
      </w:pPr>
      <w:r>
        <w:t xml:space="preserve">Data documentation and metadata generation and publication</w:t>
      </w:r>
    </w:p>
    <w:p>
      <w:pPr>
        <w:numPr>
          <w:ilvl w:val="0"/>
          <w:numId w:val="1007"/>
        </w:numPr>
        <w:pStyle w:val="Compact"/>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numPr>
          <w:ilvl w:val="0"/>
          <w:numId w:val="1008"/>
        </w:numPr>
        <w:pStyle w:val="Compact"/>
      </w:pPr>
      <w:r>
        <w:t xml:space="preserve">Does the legal framework mandate data ownership or privacy protections for constituents, clients, etc. whose data are being shared, and how clear and established are these protections?</w:t>
      </w:r>
    </w:p>
    <w:p>
      <w:pPr>
        <w:numPr>
          <w:ilvl w:val="0"/>
          <w:numId w:val="1008"/>
        </w:numPr>
        <w:pStyle w:val="Compact"/>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numPr>
          <w:ilvl w:val="0"/>
          <w:numId w:val="1008"/>
        </w:numPr>
        <w:pStyle w:val="Compact"/>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numPr>
          <w:ilvl w:val="0"/>
          <w:numId w:val="1008"/>
        </w:numPr>
        <w:pStyle w:val="Compact"/>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numPr>
          <w:ilvl w:val="0"/>
          <w:numId w:val="1008"/>
        </w:numPr>
        <w:pStyle w:val="Compact"/>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numPr>
          <w:ilvl w:val="0"/>
          <w:numId w:val="1009"/>
        </w:numPr>
        <w:pStyle w:val="Compact"/>
      </w:pPr>
      <w:r>
        <w:t xml:space="preserve">How much flexibility and individual negotiation goes into a typical data use agreement?</w:t>
      </w:r>
    </w:p>
    <w:p>
      <w:pPr>
        <w:numPr>
          <w:ilvl w:val="0"/>
          <w:numId w:val="1009"/>
        </w:numPr>
        <w:pStyle w:val="Compact"/>
      </w:pPr>
      <w:r>
        <w:t xml:space="preserve">Can the data provider impose sanctions (financial, reputational, penal) for unauthorized uses of the data? How were those chosen? Have they ever been imposed? Note: discuss details or reference back to this part in the “five safes section.</w:t>
      </w:r>
    </w:p>
    <w:p>
      <w:pPr>
        <w:numPr>
          <w:ilvl w:val="0"/>
          <w:numId w:val="1009"/>
        </w:numPr>
        <w:pStyle w:val="Compact"/>
      </w:pPr>
      <w:r>
        <w:t xml:space="preserve">Can the provider revoke data access (for cause, without cause, etc.)?</w:t>
      </w:r>
    </w:p>
    <w:p>
      <w:pPr>
        <w:numPr>
          <w:ilvl w:val="0"/>
          <w:numId w:val="1009"/>
        </w:numPr>
        <w:pStyle w:val="Compact"/>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numPr>
          <w:ilvl w:val="0"/>
          <w:numId w:val="1009"/>
        </w:numPr>
        <w:pStyle w:val="Compact"/>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numPr>
          <w:ilvl w:val="0"/>
          <w:numId w:val="1009"/>
        </w:numPr>
        <w:pStyle w:val="Compact"/>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numPr>
          <w:ilvl w:val="0"/>
          <w:numId w:val="1009"/>
        </w:numPr>
        <w:pStyle w:val="Compact"/>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numPr>
          <w:ilvl w:val="0"/>
          <w:numId w:val="1010"/>
        </w:numPr>
        <w:pStyle w:val="Compact"/>
      </w:pPr>
      <w:r>
        <w:t xml:space="preserve">What are the requirements to apply for access and how, and by whom, are they verified - citizenship, professional standing, background security checks…?</w:t>
      </w:r>
    </w:p>
    <w:p>
      <w:pPr>
        <w:numPr>
          <w:ilvl w:val="0"/>
          <w:numId w:val="1010"/>
        </w:numPr>
        <w:pStyle w:val="Compact"/>
      </w:pPr>
      <w:r>
        <w:t xml:space="preserve">Do researchers need to have human subjects training or any other kind of training? Who provides this training? How frequently does it need to be renewed?</w:t>
      </w:r>
    </w:p>
    <w:p>
      <w:pPr>
        <w:numPr>
          <w:ilvl w:val="0"/>
          <w:numId w:val="1010"/>
        </w:numPr>
        <w:pStyle w:val="Compact"/>
      </w:pPr>
      <w:r>
        <w:t xml:space="preserve">Does the organization trust researchers for access procedures, for disclosure avoidance procedures, for data handling? Does it audit these? How are violations sanctioned? Note: refer back to the legal framework for sanctions if necessary.</w:t>
      </w:r>
    </w:p>
    <w:p>
      <w:pPr>
        <w:numPr>
          <w:ilvl w:val="0"/>
          <w:numId w:val="1010"/>
        </w:numPr>
        <w:pStyle w:val="Compact"/>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numPr>
          <w:ilvl w:val="0"/>
          <w:numId w:val="1011"/>
        </w:numPr>
        <w:pStyle w:val="Compact"/>
      </w:pPr>
      <w:r>
        <w:t xml:space="preserve">Please describe software, systems, and IT resources and weigh their advantages and disadvantages and their cost.</w:t>
      </w:r>
    </w:p>
    <w:p>
      <w:pPr>
        <w:numPr>
          <w:ilvl w:val="0"/>
          <w:numId w:val="1011"/>
        </w:numPr>
        <w:pStyle w:val="Compact"/>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numPr>
          <w:ilvl w:val="0"/>
          <w:numId w:val="1011"/>
        </w:numPr>
        <w:pStyle w:val="Compact"/>
      </w:pPr>
      <w:r>
        <w:t xml:space="preserve">Are the various safe settings only used for researchers, or are they also used internally (by staff of the data provider or the data intermediary)?</w:t>
      </w:r>
    </w:p>
    <w:p>
      <w:pPr>
        <w:numPr>
          <w:ilvl w:val="0"/>
          <w:numId w:val="1011"/>
        </w:numPr>
        <w:pStyle w:val="Compact"/>
      </w:pPr>
      <w:r>
        <w:t xml:space="preserve">How is researcher-provided software and code handled?</w:t>
      </w:r>
    </w:p>
    <w:p>
      <w:pPr>
        <w:numPr>
          <w:ilvl w:val="0"/>
          <w:numId w:val="1011"/>
        </w:numPr>
        <w:pStyle w:val="Compact"/>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numPr>
          <w:ilvl w:val="0"/>
          <w:numId w:val="1012"/>
        </w:numPr>
        <w:pStyle w:val="Compact"/>
      </w:pPr>
      <w:r>
        <w:t xml:space="preserve">Describe the resources and staff capacity invested in creating researcher-accessible data files. Are these files created as part of your data processing pipeline, or for researchers only; either on-demand, or on a schedule?</w:t>
      </w:r>
    </w:p>
    <w:p>
      <w:pPr>
        <w:numPr>
          <w:ilvl w:val="0"/>
          <w:numId w:val="1012"/>
        </w:numPr>
        <w:pStyle w:val="Compact"/>
      </w:pPr>
      <w:r>
        <w:t xml:space="preserve">Are synthetic or fake datasets used, combined with remote processing or validation?</w:t>
      </w:r>
    </w:p>
    <w:p>
      <w:pPr>
        <w:numPr>
          <w:ilvl w:val="0"/>
          <w:numId w:val="1012"/>
        </w:numPr>
        <w:pStyle w:val="Compact"/>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numPr>
          <w:ilvl w:val="0"/>
          <w:numId w:val="1012"/>
        </w:numPr>
        <w:pStyle w:val="Compact"/>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numPr>
          <w:ilvl w:val="0"/>
          <w:numId w:val="1013"/>
        </w:numPr>
        <w:pStyle w:val="Compact"/>
      </w:pPr>
      <w:r>
        <w:t xml:space="preserve">Are safe-output rules incorporated into data use agreements?</w:t>
      </w:r>
    </w:p>
    <w:p>
      <w:pPr>
        <w:numPr>
          <w:ilvl w:val="0"/>
          <w:numId w:val="1013"/>
        </w:numPr>
        <w:pStyle w:val="Compact"/>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numPr>
          <w:ilvl w:val="0"/>
          <w:numId w:val="1014"/>
        </w:numPr>
        <w:pStyle w:val="Compact"/>
      </w:pPr>
      <w:r>
        <w:t xml:space="preserve">Is there active curation, or only preservation of current bitstreams?</w:t>
      </w:r>
    </w:p>
    <w:p>
      <w:pPr>
        <w:numPr>
          <w:ilvl w:val="0"/>
          <w:numId w:val="1014"/>
        </w:numPr>
        <w:pStyle w:val="Compact"/>
      </w:pPr>
      <w:r>
        <w:t xml:space="preserve">Does the data provider perform the archival/curation functions itself, is another entity within the organization responsible for this activity, or is a third-party (national, regional, university archive) responsible for this?</w:t>
      </w:r>
    </w:p>
    <w:p>
      <w:pPr>
        <w:numPr>
          <w:ilvl w:val="0"/>
          <w:numId w:val="1014"/>
        </w:numPr>
        <w:pStyle w:val="Compact"/>
      </w:pPr>
      <w:r>
        <w:t xml:space="preserve">Are persistent identifiers generated for these files?</w:t>
      </w:r>
    </w:p>
    <w:p>
      <w:pPr>
        <w:numPr>
          <w:ilvl w:val="0"/>
          <w:numId w:val="1014"/>
        </w:numPr>
        <w:pStyle w:val="Compact"/>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numPr>
          <w:ilvl w:val="0"/>
          <w:numId w:val="1015"/>
        </w:numPr>
        <w:pStyle w:val="Compact"/>
      </w:pPr>
      <w:r>
        <w:t xml:space="preserve">Can other researchers access these files, with or without the permission of the original researchers?</w:t>
      </w:r>
    </w:p>
    <w:p>
      <w:pPr>
        <w:numPr>
          <w:ilvl w:val="0"/>
          <w:numId w:val="1015"/>
        </w:numPr>
        <w:pStyle w:val="Compact"/>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2021-02-18T21:29:04Z</dcterms:created>
  <dcterms:modified xsi:type="dcterms:W3CDTF">2021-02-18T21:29:04Z</dcterms:modified>
</cp:coreProperties>
</file>

<file path=docProps/custom.xml><?xml version="1.0" encoding="utf-8"?>
<Properties xmlns="http://schemas.openxmlformats.org/officeDocument/2006/custom-properties" xmlns:vt="http://schemas.openxmlformats.org/officeDocument/2006/docPropsVTypes"/>
</file>