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25965428" w:rsidR="00877678" w:rsidRPr="00DE29A5" w:rsidRDefault="00EF34BB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로지스틱회귀분석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>
        <w:rPr>
          <w:rFonts w:ascii="나눔고딕" w:eastAsia="나눔고딕" w:hAnsi="나눔고딕"/>
          <w:b/>
          <w:bCs/>
          <w:sz w:val="30"/>
          <w:szCs w:val="30"/>
        </w:rPr>
        <w:t>Logistic Regression</w:t>
      </w:r>
      <w:r w:rsidR="00042A95">
        <w:rPr>
          <w:rFonts w:ascii="나눔고딕" w:eastAsia="나눔고딕" w:hAnsi="나눔고딕"/>
          <w:b/>
          <w:bCs/>
          <w:sz w:val="30"/>
          <w:szCs w:val="30"/>
        </w:rPr>
        <w:t>)</w:t>
      </w:r>
    </w:p>
    <w:p w14:paraId="33100576" w14:textId="6DA729DA" w:rsidR="00DE29A5" w:rsidRPr="00FA7509" w:rsidRDefault="00EF34BB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데이터 분할과 성과분석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7CB09E27" w14:textId="2DFAD7A7" w:rsidR="00036700" w:rsidRPr="00EF34BB" w:rsidRDefault="00EF34BB" w:rsidP="00036700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데이터마이닝에서 분류분석으로 모형을 개발하면 임의의 모형(</w:t>
      </w:r>
      <w:r>
        <w:rPr>
          <w:rFonts w:ascii="나눔고딕" w:eastAsia="나눔고딕" w:hAnsi="나눔고딕"/>
        </w:rPr>
        <w:t>Random Model)</w:t>
      </w:r>
      <w:r>
        <w:rPr>
          <w:rFonts w:ascii="나눔고딕" w:eastAsia="나눔고딕" w:hAnsi="나눔고딕" w:hint="eastAsia"/>
        </w:rPr>
        <w:t>보다 더 우수한 분류 성과를 보이는지와 고려된 서로 다른 모형 중 어느 것이 가장 우수한 예측 및 분류 성과를 보유하고 있는지 확인해야 한다.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모형의 성능을 평가하기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위해서 데이터를 분할하여 모형의 분류 및 예측 정확도를 </w:t>
      </w:r>
      <w:r w:rsidRPr="00566575">
        <w:rPr>
          <w:rFonts w:ascii="나눔고딕" w:eastAsia="나눔고딕" w:hAnsi="나눔고딕" w:hint="eastAsia"/>
          <w:b/>
          <w:bCs/>
          <w:color w:val="FF0000"/>
        </w:rPr>
        <w:t>오분류표(</w:t>
      </w:r>
      <w:r w:rsidRPr="00566575">
        <w:rPr>
          <w:rFonts w:ascii="나눔고딕" w:eastAsia="나눔고딕" w:hAnsi="나눔고딕"/>
          <w:b/>
          <w:bCs/>
          <w:color w:val="FF0000"/>
        </w:rPr>
        <w:t xml:space="preserve">Confusion Matrix), ROC(Receiver Operation Characteristic) </w:t>
      </w:r>
      <w:r w:rsidRPr="00566575">
        <w:rPr>
          <w:rFonts w:ascii="나눔고딕" w:eastAsia="나눔고딕" w:hAnsi="나눔고딕" w:hint="eastAsia"/>
          <w:b/>
          <w:bCs/>
          <w:color w:val="FF0000"/>
        </w:rPr>
        <w:t>그래프,</w:t>
      </w:r>
      <w:r w:rsidRPr="00566575"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566575">
        <w:rPr>
          <w:rFonts w:ascii="나눔고딕" w:eastAsia="나눔고딕" w:hAnsi="나눔고딕" w:hint="eastAsia"/>
          <w:b/>
          <w:bCs/>
          <w:color w:val="FF0000"/>
        </w:rPr>
        <w:t>이익도표</w:t>
      </w:r>
      <w:r>
        <w:rPr>
          <w:rFonts w:ascii="나눔고딕" w:eastAsia="나눔고딕" w:hAnsi="나눔고딕" w:hint="eastAsia"/>
        </w:rPr>
        <w:t xml:space="preserve"> 등으로 성과분석을 수행한다.</w:t>
      </w:r>
    </w:p>
    <w:p w14:paraId="1D64C257" w14:textId="6CA10A80" w:rsidR="00D40FB8" w:rsidRDefault="00D40FB8" w:rsidP="003222BE">
      <w:pPr>
        <w:rPr>
          <w:rFonts w:ascii="나눔고딕" w:eastAsia="나눔고딕" w:hAnsi="나눔고딕"/>
          <w:b/>
          <w:bCs/>
          <w:color w:val="FF0000"/>
        </w:rPr>
      </w:pPr>
    </w:p>
    <w:p w14:paraId="0E5C17D3" w14:textId="3B00539E" w:rsidR="00566575" w:rsidRPr="00FA7509" w:rsidRDefault="00566575" w:rsidP="00566575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로지스틱회귀분석(</w:t>
      </w:r>
      <w:r>
        <w:rPr>
          <w:rFonts w:ascii="나눔고딕" w:eastAsia="나눔고딕" w:hAnsi="나눔고딕"/>
          <w:b/>
          <w:bCs/>
          <w:sz w:val="24"/>
          <w:szCs w:val="24"/>
        </w:rPr>
        <w:t>Logistic Regression)</w:t>
      </w:r>
    </w:p>
    <w:p w14:paraId="7E0AA69B" w14:textId="77777777" w:rsidR="00566575" w:rsidRPr="00B53F72" w:rsidRDefault="00566575" w:rsidP="00566575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6148BD85" w14:textId="72AE0852" w:rsidR="00566575" w:rsidRDefault="00FB7F3B" w:rsidP="00566575">
      <w:pPr>
        <w:ind w:firstLineChars="100" w:firstLine="188"/>
        <w:rPr>
          <w:rFonts w:ascii="나눔고딕" w:eastAsia="나눔고딕" w:hAnsi="나눔고딕"/>
          <w:szCs w:val="20"/>
        </w:rPr>
      </w:pPr>
      <w:r w:rsidRPr="00571AEA">
        <w:rPr>
          <w:rFonts w:ascii="나눔고딕" w:eastAsia="나눔고딕" w:hAnsi="나눔고딕" w:hint="eastAsia"/>
          <w:szCs w:val="20"/>
        </w:rPr>
        <w:t>로지스틱 회귀모형은 반응변수가 범주형인 경우에 적용되는 회귀모형이다.</w:t>
      </w:r>
      <w:r w:rsidRPr="00571AEA">
        <w:rPr>
          <w:rFonts w:ascii="나눔고딕" w:eastAsia="나눔고딕" w:hAnsi="나눔고딕"/>
          <w:szCs w:val="20"/>
        </w:rPr>
        <w:t xml:space="preserve"> </w:t>
      </w:r>
      <w:r w:rsidRPr="00571AEA">
        <w:rPr>
          <w:rFonts w:ascii="나눔고딕" w:eastAsia="나눔고딕" w:hAnsi="나눔고딕" w:hint="eastAsia"/>
          <w:szCs w:val="20"/>
        </w:rPr>
        <w:t>이 방법은 새로운 설명변수의 값이 주어질 때 반응변수의 각 범주에 속할 확률이 얼마인지를 추정하여</w:t>
      </w:r>
      <w:r w:rsidRPr="00571AEA">
        <w:rPr>
          <w:rFonts w:ascii="나눔고딕" w:eastAsia="나눔고딕" w:hAnsi="나눔고딕"/>
          <w:szCs w:val="20"/>
        </w:rPr>
        <w:t xml:space="preserve">, </w:t>
      </w:r>
      <w:r w:rsidRPr="00571AEA">
        <w:rPr>
          <w:rFonts w:ascii="나눔고딕" w:eastAsia="나눔고딕" w:hAnsi="나눔고딕" w:hint="eastAsia"/>
          <w:szCs w:val="20"/>
        </w:rPr>
        <w:t>추정확률을 기준치에 따라 분류하는 목적으로 활용된다.</w:t>
      </w:r>
    </w:p>
    <w:p w14:paraId="1982269B" w14:textId="10E46D22" w:rsidR="00712952" w:rsidRDefault="00712952" w:rsidP="00566575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로지스틱 회귀가 선형 회귀와 다른 점은 학습을 통해 선형 함수의 최적선을 찾는 것이 아니라 시그모이드(</w:t>
      </w:r>
      <w:r>
        <w:rPr>
          <w:rFonts w:ascii="나눔고딕" w:eastAsia="나눔고딕" w:hAnsi="나눔고딕"/>
          <w:szCs w:val="20"/>
        </w:rPr>
        <w:t xml:space="preserve">Sigmoid) </w:t>
      </w:r>
      <w:r>
        <w:rPr>
          <w:rFonts w:ascii="나눔고딕" w:eastAsia="나눔고딕" w:hAnsi="나눔고딕" w:hint="eastAsia"/>
          <w:szCs w:val="20"/>
        </w:rPr>
        <w:t>함수 최적선을 찾고,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해당 함수의 반환값으로 확률을 구해 분류를 결정한다는 것이다.</w:t>
      </w:r>
    </w:p>
    <w:p w14:paraId="263B71CB" w14:textId="34A4A68B" w:rsidR="00712952" w:rsidRPr="00571AEA" w:rsidRDefault="00712952" w:rsidP="00566575">
      <w:pPr>
        <w:ind w:firstLineChars="100" w:firstLine="188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>로지스틱 회귀는 데이터의 정규 분포도에 따라 예측 성능의 영향이 미치므로,</w:t>
      </w:r>
      <w:r>
        <w:rPr>
          <w:rFonts w:ascii="나눔고딕" w:eastAsia="나눔고딕" w:hAnsi="나눔고딕"/>
          <w:szCs w:val="20"/>
        </w:rPr>
        <w:t xml:space="preserve"> </w:t>
      </w:r>
      <w:r w:rsidR="009832F4">
        <w:rPr>
          <w:rFonts w:ascii="나눔고딕" w:eastAsia="나눔고딕" w:hAnsi="나눔고딕" w:hint="eastAsia"/>
          <w:szCs w:val="20"/>
        </w:rPr>
        <w:t>정규 분포 형태의 표준화를 거치는 것이 좋습니다</w:t>
      </w:r>
      <w:r w:rsidR="009832F4">
        <w:rPr>
          <w:rFonts w:ascii="나눔고딕" w:eastAsia="나눔고딕" w:hAnsi="나눔고딕"/>
          <w:szCs w:val="20"/>
        </w:rPr>
        <w:t xml:space="preserve">. </w:t>
      </w:r>
      <w:r w:rsidR="009832F4">
        <w:rPr>
          <w:rFonts w:ascii="나눔고딕" w:eastAsia="나눔고딕" w:hAnsi="나눔고딕" w:hint="eastAsia"/>
          <w:szCs w:val="20"/>
        </w:rPr>
        <w:t xml:space="preserve">또한, 주요 파라미터로는 </w:t>
      </w:r>
      <w:r w:rsidR="009832F4">
        <w:rPr>
          <w:rFonts w:ascii="나눔고딕" w:eastAsia="나눔고딕" w:hAnsi="나눔고딕"/>
          <w:szCs w:val="20"/>
        </w:rPr>
        <w:t>“penalty”</w:t>
      </w:r>
      <w:r w:rsidR="009832F4">
        <w:rPr>
          <w:rFonts w:ascii="나눔고딕" w:eastAsia="나눔고딕" w:hAnsi="나눔고딕" w:hint="eastAsia"/>
          <w:szCs w:val="20"/>
        </w:rPr>
        <w:t xml:space="preserve">와 </w:t>
      </w:r>
      <w:r w:rsidR="009832F4">
        <w:rPr>
          <w:rFonts w:ascii="나눔고딕" w:eastAsia="나눔고딕" w:hAnsi="나눔고딕"/>
          <w:szCs w:val="20"/>
        </w:rPr>
        <w:t>“C”</w:t>
      </w:r>
      <w:r w:rsidR="009832F4">
        <w:rPr>
          <w:rFonts w:ascii="나눔고딕" w:eastAsia="나눔고딕" w:hAnsi="나눔고딕" w:hint="eastAsia"/>
          <w:szCs w:val="20"/>
        </w:rPr>
        <w:t>가 있습니다.</w:t>
      </w:r>
      <w:r w:rsidR="009832F4">
        <w:rPr>
          <w:rFonts w:ascii="나눔고딕" w:eastAsia="나눔고딕" w:hAnsi="나눔고딕"/>
          <w:szCs w:val="20"/>
        </w:rPr>
        <w:t xml:space="preserve"> </w:t>
      </w:r>
      <w:r w:rsidR="00924F37" w:rsidRPr="00924F37">
        <w:rPr>
          <w:rFonts w:ascii="나눔고딕" w:eastAsia="나눔고딕" w:hAnsi="나눔고딕" w:hint="eastAsia"/>
          <w:b/>
          <w:bCs/>
          <w:color w:val="FF0000"/>
          <w:szCs w:val="20"/>
        </w:rPr>
        <w:t>사실상 규제를 하지 않을 경우 별도로 하이퍼파라미터 튜닝을 할 필요도 없다.</w:t>
      </w:r>
    </w:p>
    <w:p w14:paraId="791CCF47" w14:textId="69CCE39F" w:rsidR="00566575" w:rsidRDefault="00566575" w:rsidP="003222BE">
      <w:pPr>
        <w:rPr>
          <w:rFonts w:ascii="나눔고딕" w:eastAsia="나눔고딕" w:hAnsi="나눔고딕"/>
          <w:b/>
          <w:bCs/>
          <w:color w:val="FF0000"/>
          <w:szCs w:val="20"/>
        </w:rPr>
      </w:pPr>
    </w:p>
    <w:p w14:paraId="6D4EEF24" w14:textId="40DCAC8A" w:rsidR="00571AEA" w:rsidRPr="00B53F72" w:rsidRDefault="00571AEA" w:rsidP="00571AEA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오즈비(</w:t>
      </w:r>
      <w:r>
        <w:rPr>
          <w:rFonts w:ascii="나눔고딕" w:eastAsia="나눔고딕" w:hAnsi="나눔고딕"/>
          <w:b/>
          <w:bCs/>
        </w:rPr>
        <w:t>Odds ratio)</w:t>
      </w:r>
    </w:p>
    <w:p w14:paraId="7445298B" w14:textId="2B40F169" w:rsidR="00571AEA" w:rsidRDefault="00571AEA" w:rsidP="00571AEA">
      <w:pPr>
        <w:ind w:firstLineChars="100" w:firstLine="188"/>
        <w:rPr>
          <w:rFonts w:ascii="나눔고딕" w:eastAsia="나눔고딕" w:hAnsi="나눔고딕"/>
          <w:szCs w:val="20"/>
        </w:rPr>
      </w:pPr>
      <w:r w:rsidRPr="00571AEA">
        <w:rPr>
          <w:rFonts w:ascii="나눔고딕" w:eastAsia="나눔고딕" w:hAnsi="나눔고딕" w:hint="eastAsia"/>
          <w:szCs w:val="20"/>
        </w:rPr>
        <w:t>로지스틱 회귀모형은</w:t>
      </w:r>
      <w:r>
        <w:rPr>
          <w:rFonts w:ascii="나눔고딕" w:eastAsia="나눔고딕" w:hAnsi="나눔고딕" w:hint="eastAsia"/>
          <w:szCs w:val="20"/>
        </w:rPr>
        <w:t xml:space="preserve"> 오즈의 관점에서 해석이 가능하다.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오즈는 성공할 확률이 실패할 확률의 몇 배인지를 나타내는 확률이며,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오즈비는 오즈의 비율이다.</w:t>
      </w:r>
    </w:p>
    <w:p w14:paraId="757A0443" w14:textId="6502643E" w:rsidR="009832F4" w:rsidRDefault="009832F4" w:rsidP="00571AEA">
      <w:pPr>
        <w:ind w:firstLineChars="100" w:firstLine="188"/>
        <w:rPr>
          <w:rFonts w:ascii="나눔고딕" w:eastAsia="나눔고딕" w:hAnsi="나눔고딕"/>
          <w:szCs w:val="20"/>
        </w:rPr>
      </w:pPr>
    </w:p>
    <w:p w14:paraId="27CC7990" w14:textId="37070974" w:rsidR="009832F4" w:rsidRPr="009832F4" w:rsidRDefault="009832F4" w:rsidP="009832F4">
      <w:pPr>
        <w:rPr>
          <w:rFonts w:ascii="나눔고딕" w:eastAsia="나눔고딕" w:hAnsi="나눔고딕" w:hint="eastAsia"/>
          <w:b/>
          <w:bCs/>
          <w:color w:val="FF0000"/>
          <w:szCs w:val="20"/>
        </w:rPr>
      </w:pPr>
      <w:r w:rsidRPr="009832F4">
        <w:rPr>
          <w:rFonts w:ascii="나눔고딕" w:eastAsia="나눔고딕" w:hAnsi="나눔고딕" w:hint="eastAsia"/>
          <w:b/>
          <w:bCs/>
          <w:color w:val="FF0000"/>
          <w:szCs w:val="20"/>
        </w:rPr>
        <w:t xml:space="preserve">▷ 표준화 </w:t>
      </w:r>
      <w:r w:rsidRPr="009832F4">
        <w:rPr>
          <w:rFonts w:ascii="나눔고딕" w:eastAsia="나눔고딕" w:hAnsi="나눔고딕"/>
          <w:b/>
          <w:bCs/>
          <w:color w:val="FF0000"/>
          <w:szCs w:val="20"/>
        </w:rPr>
        <w:t xml:space="preserve">-&gt; </w:t>
      </w:r>
      <w:r w:rsidRPr="009832F4">
        <w:rPr>
          <w:rFonts w:ascii="나눔고딕" w:eastAsia="나눔고딕" w:hAnsi="나눔고딕" w:hint="eastAsia"/>
          <w:b/>
          <w:bCs/>
          <w:color w:val="FF0000"/>
          <w:szCs w:val="20"/>
        </w:rPr>
        <w:t>로지스틱 회귀</w:t>
      </w:r>
    </w:p>
    <w:sectPr w:rsidR="009832F4" w:rsidRPr="00983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D83C" w14:textId="77777777" w:rsidR="003D5D9E" w:rsidRDefault="003D5D9E" w:rsidP="00FA7509">
      <w:pPr>
        <w:spacing w:after="0" w:line="240" w:lineRule="auto"/>
      </w:pPr>
      <w:r>
        <w:separator/>
      </w:r>
    </w:p>
  </w:endnote>
  <w:endnote w:type="continuationSeparator" w:id="0">
    <w:p w14:paraId="7EF9E655" w14:textId="77777777" w:rsidR="003D5D9E" w:rsidRDefault="003D5D9E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8320" w14:textId="77777777" w:rsidR="003D5D9E" w:rsidRDefault="003D5D9E" w:rsidP="00FA7509">
      <w:pPr>
        <w:spacing w:after="0" w:line="240" w:lineRule="auto"/>
      </w:pPr>
      <w:r>
        <w:separator/>
      </w:r>
    </w:p>
  </w:footnote>
  <w:footnote w:type="continuationSeparator" w:id="0">
    <w:p w14:paraId="70EC4D8A" w14:textId="77777777" w:rsidR="003D5D9E" w:rsidRDefault="003D5D9E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1DD1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D5D9E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E5685"/>
    <w:rsid w:val="004F6FA4"/>
    <w:rsid w:val="00515AFB"/>
    <w:rsid w:val="00534537"/>
    <w:rsid w:val="00566575"/>
    <w:rsid w:val="00571AEA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72A6C"/>
    <w:rsid w:val="006744AD"/>
    <w:rsid w:val="00676B2C"/>
    <w:rsid w:val="006A41C1"/>
    <w:rsid w:val="006C4789"/>
    <w:rsid w:val="006D25E3"/>
    <w:rsid w:val="00712952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24F37"/>
    <w:rsid w:val="009814FE"/>
    <w:rsid w:val="009832F4"/>
    <w:rsid w:val="00992DC5"/>
    <w:rsid w:val="00994F9B"/>
    <w:rsid w:val="009C4654"/>
    <w:rsid w:val="009C4A90"/>
    <w:rsid w:val="009F43A7"/>
    <w:rsid w:val="00A027C8"/>
    <w:rsid w:val="00A31D28"/>
    <w:rsid w:val="00A413DF"/>
    <w:rsid w:val="00A51F79"/>
    <w:rsid w:val="00A53930"/>
    <w:rsid w:val="00AA127D"/>
    <w:rsid w:val="00AA184B"/>
    <w:rsid w:val="00AA1D1D"/>
    <w:rsid w:val="00AA2BC2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7147C"/>
    <w:rsid w:val="00C92327"/>
    <w:rsid w:val="00CA12B6"/>
    <w:rsid w:val="00CA61CF"/>
    <w:rsid w:val="00CB2E99"/>
    <w:rsid w:val="00CC3387"/>
    <w:rsid w:val="00CD6B8E"/>
    <w:rsid w:val="00CE29F3"/>
    <w:rsid w:val="00CE6796"/>
    <w:rsid w:val="00D17163"/>
    <w:rsid w:val="00D40FB8"/>
    <w:rsid w:val="00D42CB7"/>
    <w:rsid w:val="00D46064"/>
    <w:rsid w:val="00D4709D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EF34BB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57CE"/>
    <w:rsid w:val="00FA7509"/>
    <w:rsid w:val="00FB519B"/>
    <w:rsid w:val="00FB7F3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11</cp:revision>
  <dcterms:created xsi:type="dcterms:W3CDTF">2022-06-10T07:18:00Z</dcterms:created>
  <dcterms:modified xsi:type="dcterms:W3CDTF">2022-06-15T11:56:00Z</dcterms:modified>
</cp:coreProperties>
</file>