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1A11E">
      <w:pPr>
        <w:adjustRightInd w:val="0"/>
        <w:spacing w:line="360" w:lineRule="auto"/>
        <w:ind w:firstLine="602"/>
        <w:jc w:val="center"/>
        <w:textAlignment w:val="baseline"/>
        <w:rPr>
          <w:rFonts w:hint="eastAsia" w:ascii="宋体" w:hAnsi="宋体" w:cs="宋体"/>
          <w:b/>
          <w:kern w:val="0"/>
          <w:sz w:val="30"/>
          <w:szCs w:val="30"/>
          <w:highlight w:val="none"/>
        </w:rPr>
      </w:pPr>
      <w:r>
        <w:t>等保测评及密评服务合同</w:t>
      </w:r>
    </w:p>
    <w:p w14:paraId="14DEDD76">
      <w:pPr>
        <w:adjustRightInd w:val="0"/>
        <w:spacing w:line="360" w:lineRule="auto"/>
        <w:ind w:firstLine="422"/>
        <w:jc w:val="left"/>
        <w:textAlignment w:val="baseline"/>
        <w:rPr>
          <w:rFonts w:hint="eastAsia" w:ascii="宋体" w:hAnsi="宋体" w:cs="宋体"/>
          <w:b/>
          <w:kern w:val="0"/>
          <w:szCs w:val="21"/>
          <w:highlight w:val="none"/>
        </w:rPr>
      </w:pPr>
      <w:r/>
    </w:p>
    <w:p w14:paraId="44E2A666">
      <w:pPr>
        <w:adjustRightInd w:val="0"/>
        <w:spacing w:line="360" w:lineRule="auto"/>
        <w:ind w:firstLine="487" w:firstLineChars="202"/>
        <w:rPr>
          <w:rFonts w:hint="default" w:ascii="宋体" w:hAnsi="宋体" w:eastAsia="宋体" w:cs="宋体"/>
          <w:b/>
          <w:sz w:val="24"/>
          <w:highlight w:val="none"/>
          <w:lang w:val="en-US" w:eastAsia="zh-CN"/>
        </w:rPr>
      </w:pPr>
      <w:r>
        <w:t>甲方（采购人）：{{客户名称}}</w:t>
      </w:r>
    </w:p>
    <w:p w14:paraId="4616692D">
      <w:pPr>
        <w:adjustRightInd w:val="0"/>
        <w:spacing w:line="360" w:lineRule="auto"/>
        <w:ind w:firstLine="487" w:firstLineChars="202"/>
        <w:rPr>
          <w:rFonts w:hint="eastAsia" w:ascii="宋体" w:hAnsi="宋体" w:cs="宋体"/>
          <w:b/>
          <w:sz w:val="24"/>
          <w:highlight w:val="none"/>
        </w:rPr>
      </w:pPr>
      <w:r>
        <w:t>乙方（供应商）：{{我方名称}}</w:t>
      </w:r>
    </w:p>
    <w:p w14:paraId="64CDC02F">
      <w:pPr>
        <w:adjustRightInd w:val="0"/>
        <w:spacing w:line="360" w:lineRule="auto"/>
        <w:ind w:firstLine="480"/>
        <w:rPr>
          <w:rFonts w:hint="eastAsia" w:ascii="宋体" w:hAnsi="宋体" w:cs="宋体"/>
          <w:sz w:val="24"/>
          <w:highlight w:val="none"/>
        </w:rPr>
      </w:pPr>
      <w:r/>
    </w:p>
    <w:p w14:paraId="4452A6F0">
      <w:pPr>
        <w:adjustRightInd w:val="0"/>
        <w:spacing w:line="360" w:lineRule="auto"/>
        <w:ind w:firstLine="480" w:firstLineChars="200"/>
        <w:rPr>
          <w:rFonts w:hint="eastAsia" w:ascii="Times New Roman" w:hAnsi="Times New Roman" w:cs="Times New Roman" w:eastAsiaTheme="minorEastAsia"/>
          <w:sz w:val="24"/>
          <w:highlight w:val="none"/>
        </w:rPr>
      </w:pPr>
      <w:r>
        <w:t>为明确双方权利和义务，依照《中华人民共和国民法典》等法律法规的规定，遵循平等自愿、公平、诚信的原则，双方就{{项目名称}}等保测评及密评服务事宜协商一致，订立本合同。</w:t>
      </w:r>
    </w:p>
    <w:p w14:paraId="31DB1330">
      <w:pPr>
        <w:adjustRightInd w:val="0"/>
        <w:spacing w:line="360" w:lineRule="auto"/>
        <w:ind w:firstLine="482" w:firstLineChars="200"/>
        <w:rPr>
          <w:rFonts w:hint="eastAsia" w:ascii="Times New Roman" w:hAnsi="Times New Roman" w:cs="Times New Roman" w:eastAsiaTheme="minorEastAsia"/>
          <w:b/>
          <w:bCs/>
          <w:sz w:val="24"/>
          <w:highlight w:val="none"/>
        </w:rPr>
      </w:pPr>
      <w:r>
        <w:t>一、服务内容及要求</w:t>
      </w:r>
    </w:p>
    <w:p w14:paraId="3C7BF5A6">
      <w:pPr>
        <w:adjustRightInd w:val="0"/>
        <w:spacing w:line="360" w:lineRule="auto"/>
        <w:ind w:firstLine="480" w:firstLineChars="200"/>
        <w:rPr>
          <w:rFonts w:hint="eastAsia" w:ascii="Times New Roman" w:hAnsi="Times New Roman" w:cs="Times New Roman" w:eastAsiaTheme="minorEastAsia"/>
          <w:sz w:val="24"/>
          <w:highlight w:val="none"/>
        </w:rPr>
      </w:pPr>
      <w:r>
        <w:t>1、网络安全等级保护测评</w:t>
      </w:r>
    </w:p>
    <w:p w14:paraId="7A8BB9A4">
      <w:pPr>
        <w:adjustRightInd w:val="0"/>
        <w:spacing w:line="360" w:lineRule="auto"/>
        <w:ind w:firstLine="480" w:firstLineChars="200"/>
        <w:rPr>
          <w:rFonts w:hint="eastAsia" w:ascii="Times New Roman" w:hAnsi="Times New Roman" w:cs="Times New Roman" w:eastAsiaTheme="minorEastAsia"/>
          <w:sz w:val="24"/>
          <w:highlight w:val="none"/>
        </w:rPr>
      </w:pPr>
      <w:r>
        <w:t>测评内容：</w:t>
      </w:r>
    </w:p>
    <w:p w14:paraId="5D5DCEB3">
      <w:pPr>
        <w:adjustRightInd w:val="0"/>
        <w:spacing w:line="360" w:lineRule="auto"/>
        <w:ind w:firstLine="480" w:firstLineChars="200"/>
        <w:rPr>
          <w:rFonts w:hint="eastAsia" w:ascii="Times New Roman" w:hAnsi="Times New Roman" w:cs="Times New Roman" w:eastAsiaTheme="minorEastAsia"/>
          <w:sz w:val="24"/>
          <w:highlight w:val="none"/>
        </w:rPr>
      </w:pPr>
      <w:r>
        <w:t>遵循网络安全等级保护2.0标准从安全技术测评和安全管理测评两个层面开展信息系统等级保护测评工作，测评内容包括但不限于以下内容：</w:t>
      </w:r>
    </w:p>
    <w:p w14:paraId="72CF8842">
      <w:pPr>
        <w:adjustRightInd w:val="0"/>
        <w:spacing w:line="360" w:lineRule="auto"/>
        <w:ind w:firstLine="480" w:firstLineChars="200"/>
        <w:rPr>
          <w:rFonts w:hint="eastAsia" w:ascii="Times New Roman" w:hAnsi="Times New Roman" w:cs="Times New Roman" w:eastAsiaTheme="minorEastAsia"/>
          <w:sz w:val="24"/>
          <w:highlight w:val="none"/>
        </w:rPr>
      </w:pPr>
      <w:r>
        <w:t>（1）安全技术测评：包括物理安全、网络安全、主机系统安全、应用安全和数据安全等五个方面的安全测评。</w:t>
      </w:r>
    </w:p>
    <w:p w14:paraId="1EAB4703">
      <w:pPr>
        <w:adjustRightInd w:val="0"/>
        <w:spacing w:line="360" w:lineRule="auto"/>
        <w:ind w:firstLine="480" w:firstLineChars="200"/>
        <w:rPr>
          <w:rFonts w:hint="eastAsia" w:ascii="Times New Roman" w:hAnsi="Times New Roman" w:cs="Times New Roman" w:eastAsiaTheme="minorEastAsia"/>
          <w:sz w:val="24"/>
          <w:highlight w:val="none"/>
        </w:rPr>
      </w:pPr>
      <w:r>
        <w:t>（2）安全管理测评：包括安全管理机构、安全管理制度、人员安全管理、系统建设管理和系统运维管理等五个方面的安全测评。</w:t>
      </w:r>
    </w:p>
    <w:p w14:paraId="2BCFFB75">
      <w:pPr>
        <w:adjustRightInd w:val="0"/>
        <w:spacing w:line="360" w:lineRule="auto"/>
        <w:ind w:firstLine="480" w:firstLineChars="200"/>
        <w:rPr>
          <w:rFonts w:hint="eastAsia" w:ascii="Times New Roman" w:hAnsi="Times New Roman" w:cs="Times New Roman" w:eastAsiaTheme="minorEastAsia"/>
          <w:sz w:val="24"/>
          <w:highlight w:val="none"/>
        </w:rPr>
      </w:pPr>
      <w:r>
        <w:t>测评要求：</w:t>
      </w:r>
    </w:p>
    <w:p w14:paraId="64EE8846">
      <w:pPr>
        <w:adjustRightInd w:val="0"/>
        <w:spacing w:line="360" w:lineRule="auto"/>
        <w:ind w:firstLine="480" w:firstLineChars="200"/>
        <w:rPr>
          <w:rFonts w:hint="eastAsia" w:ascii="Times New Roman" w:hAnsi="Times New Roman" w:cs="Times New Roman" w:eastAsiaTheme="minorEastAsia"/>
          <w:sz w:val="24"/>
          <w:highlight w:val="none"/>
        </w:rPr>
      </w:pPr>
      <w:r>
        <w:t>（1）乙方应详细描述本次等级保护测评的整体实施方案，包括项目概述、等保测评方案、项目实施方案、测试过程中需使用测试设备清单、时间安排、阶段性文档提交和验收标准等，实施方案需提交给甲方审核。</w:t>
      </w:r>
    </w:p>
    <w:p w14:paraId="2DEEDE4A">
      <w:pPr>
        <w:adjustRightInd w:val="0"/>
        <w:spacing w:line="360" w:lineRule="auto"/>
        <w:ind w:firstLine="480" w:firstLineChars="200"/>
        <w:rPr>
          <w:rFonts w:hint="eastAsia" w:ascii="Times New Roman" w:hAnsi="Times New Roman" w:cs="Times New Roman" w:eastAsiaTheme="minorEastAsia"/>
          <w:sz w:val="24"/>
          <w:highlight w:val="none"/>
        </w:rPr>
      </w:pPr>
      <w:r>
        <w:t xml:space="preserve">（2）乙方应详细描述测评人员的组成、资质及各自职责的划分。乙方应配置有经验的测评人员进行本次等级保护测评工作。 </w:t>
      </w:r>
    </w:p>
    <w:p w14:paraId="0CD8E9CA">
      <w:pPr>
        <w:adjustRightInd w:val="0"/>
        <w:spacing w:line="360" w:lineRule="auto"/>
        <w:ind w:firstLine="480" w:firstLineChars="200"/>
        <w:rPr>
          <w:rFonts w:hint="eastAsia" w:ascii="Times New Roman" w:hAnsi="Times New Roman" w:cs="Times New Roman" w:eastAsiaTheme="minorEastAsia"/>
          <w:sz w:val="24"/>
          <w:highlight w:val="none"/>
        </w:rPr>
      </w:pPr>
      <w:r>
        <w:t>（3）根据测评情况提出信息系统等级保护整改建议书，并协助落实整改方案实施直至满足要求。</w:t>
      </w:r>
    </w:p>
    <w:p w14:paraId="788D93E4">
      <w:pPr>
        <w:adjustRightInd w:val="0"/>
        <w:spacing w:line="360" w:lineRule="auto"/>
        <w:ind w:firstLine="480" w:firstLineChars="200"/>
        <w:rPr>
          <w:rFonts w:hint="eastAsia" w:ascii="Times New Roman" w:hAnsi="Times New Roman" w:cs="Times New Roman" w:eastAsiaTheme="minorEastAsia"/>
          <w:sz w:val="24"/>
          <w:highlight w:val="none"/>
        </w:rPr>
      </w:pPr>
      <w:r>
        <w:t>（4）协助甲方依据行政主管部门要求开展信息系统等保定级、备案等工作。</w:t>
      </w:r>
    </w:p>
    <w:p w14:paraId="6A6F83CB">
      <w:pPr>
        <w:adjustRightInd w:val="0"/>
        <w:spacing w:line="360" w:lineRule="auto"/>
        <w:ind w:firstLine="480" w:firstLineChars="200"/>
        <w:rPr>
          <w:rFonts w:hint="eastAsia" w:ascii="Times New Roman" w:hAnsi="Times New Roman" w:cs="Times New Roman" w:eastAsiaTheme="minorEastAsia"/>
          <w:sz w:val="24"/>
          <w:highlight w:val="none"/>
        </w:rPr>
      </w:pPr>
      <w:r>
        <w:t>（5）在项目实施各个阶段中，乙方要积极配合甲方工作并提供技术支持。</w:t>
      </w:r>
    </w:p>
    <w:p w14:paraId="531FE739">
      <w:pPr>
        <w:adjustRightInd w:val="0"/>
        <w:spacing w:line="360" w:lineRule="auto"/>
        <w:ind w:firstLine="480" w:firstLineChars="200"/>
        <w:rPr>
          <w:rFonts w:hint="eastAsia" w:ascii="Times New Roman" w:hAnsi="Times New Roman" w:cs="Times New Roman" w:eastAsiaTheme="minorEastAsia"/>
          <w:sz w:val="24"/>
          <w:highlight w:val="none"/>
        </w:rPr>
      </w:pPr>
      <w:r>
        <w:t>2、商用密码应用安全性评估</w:t>
      </w:r>
    </w:p>
    <w:p w14:paraId="09F665CE">
      <w:pPr>
        <w:adjustRightInd w:val="0"/>
        <w:spacing w:line="360" w:lineRule="auto"/>
        <w:ind w:firstLine="480" w:firstLineChars="200"/>
        <w:rPr>
          <w:rFonts w:hint="eastAsia" w:ascii="Times New Roman" w:hAnsi="Times New Roman" w:cs="Times New Roman" w:eastAsiaTheme="minorEastAsia"/>
          <w:sz w:val="24"/>
          <w:highlight w:val="none"/>
        </w:rPr>
      </w:pPr>
      <w:r>
        <w:t>评估内容：</w:t>
      </w:r>
    </w:p>
    <w:p w14:paraId="4CAC391F">
      <w:pPr>
        <w:adjustRightInd w:val="0"/>
        <w:spacing w:line="360" w:lineRule="auto"/>
        <w:ind w:firstLine="480" w:firstLineChars="200"/>
        <w:rPr>
          <w:rFonts w:hint="eastAsia" w:ascii="Times New Roman" w:hAnsi="Times New Roman" w:cs="Times New Roman" w:eastAsiaTheme="minorEastAsia"/>
          <w:sz w:val="24"/>
          <w:highlight w:val="none"/>
        </w:rPr>
      </w:pPr>
      <w:r>
        <w:t>根据国家商用密码相关标准和要求，对密码应用安全性评估测评，测评内容包括但不限于以下内容：</w:t>
      </w:r>
    </w:p>
    <w:p w14:paraId="06183754">
      <w:pPr>
        <w:adjustRightInd w:val="0"/>
        <w:spacing w:line="360" w:lineRule="auto"/>
        <w:ind w:firstLine="480" w:firstLineChars="200"/>
        <w:rPr>
          <w:rFonts w:hint="eastAsia" w:ascii="Times New Roman" w:hAnsi="Times New Roman" w:cs="Times New Roman" w:eastAsiaTheme="minorEastAsia"/>
          <w:sz w:val="24"/>
          <w:highlight w:val="none"/>
        </w:rPr>
      </w:pPr>
      <w:r>
        <w:t>（1）安全技术测评：包括物理和环境安全、网络和通信安全、设备和计算安全、应用和数据安全等四个方面的安全测评。</w:t>
      </w:r>
    </w:p>
    <w:p w14:paraId="6A0F358E">
      <w:pPr>
        <w:adjustRightInd w:val="0"/>
        <w:spacing w:line="360" w:lineRule="auto"/>
        <w:ind w:firstLine="480" w:firstLineChars="200"/>
        <w:rPr>
          <w:rFonts w:hint="eastAsia" w:ascii="Times New Roman" w:hAnsi="Times New Roman" w:cs="Times New Roman" w:eastAsiaTheme="minorEastAsia"/>
          <w:sz w:val="24"/>
          <w:highlight w:val="none"/>
        </w:rPr>
      </w:pPr>
      <w:r>
        <w:t>（2）安全管理测评：包括管理制度、人员管理、建设运行、应急处置四个方面的安全测评。</w:t>
      </w:r>
    </w:p>
    <w:p w14:paraId="64867096">
      <w:pPr>
        <w:adjustRightInd w:val="0"/>
        <w:spacing w:line="360" w:lineRule="auto"/>
        <w:ind w:firstLine="480" w:firstLineChars="200"/>
        <w:rPr>
          <w:rFonts w:hint="eastAsia" w:ascii="Times New Roman" w:hAnsi="Times New Roman" w:cs="Times New Roman" w:eastAsiaTheme="minorEastAsia"/>
          <w:sz w:val="24"/>
          <w:highlight w:val="none"/>
        </w:rPr>
      </w:pPr>
      <w:r>
        <w:t>评估要求：</w:t>
      </w:r>
    </w:p>
    <w:p w14:paraId="149A08D4">
      <w:pPr>
        <w:adjustRightInd w:val="0"/>
        <w:spacing w:line="360" w:lineRule="auto"/>
        <w:ind w:firstLine="480" w:firstLineChars="200"/>
        <w:rPr>
          <w:rFonts w:hint="eastAsia" w:ascii="Times New Roman" w:hAnsi="Times New Roman" w:cs="Times New Roman" w:eastAsiaTheme="minorEastAsia"/>
          <w:sz w:val="24"/>
          <w:highlight w:val="none"/>
        </w:rPr>
      </w:pPr>
      <w:r>
        <w:t>（1）乙方应详细描述本次商用密码应用安全性评估测评的整体实施方案，包括项目概述、密评测评方案、项目实施方案、测试过程中需使用测试设备清单、时间安排、阶段性文档提交和验收标准等，实施方案需提交给甲方审核。</w:t>
      </w:r>
    </w:p>
    <w:p w14:paraId="74517ACA">
      <w:pPr>
        <w:adjustRightInd w:val="0"/>
        <w:spacing w:line="360" w:lineRule="auto"/>
        <w:ind w:firstLine="480" w:firstLineChars="200"/>
        <w:rPr>
          <w:rFonts w:hint="eastAsia" w:ascii="Times New Roman" w:hAnsi="Times New Roman" w:cs="Times New Roman" w:eastAsiaTheme="minorEastAsia"/>
          <w:sz w:val="24"/>
          <w:highlight w:val="none"/>
        </w:rPr>
      </w:pPr>
      <w:r>
        <w:t>（2）乙方应详细描述测评人员的组成、资质及各自职责的划分。乙方应配置有经验的测评人员进行本次密评工作。</w:t>
      </w:r>
    </w:p>
    <w:p w14:paraId="64838580">
      <w:pPr>
        <w:adjustRightInd w:val="0"/>
        <w:spacing w:line="360" w:lineRule="auto"/>
        <w:ind w:firstLine="480" w:firstLineChars="200"/>
        <w:rPr>
          <w:rFonts w:hint="eastAsia" w:ascii="Times New Roman" w:hAnsi="Times New Roman" w:cs="Times New Roman" w:eastAsiaTheme="minorEastAsia"/>
          <w:sz w:val="24"/>
          <w:highlight w:val="none"/>
        </w:rPr>
      </w:pPr>
      <w:r>
        <w:t>（3）根据评估结果，按照国家密码管理局要求，编制密码应用安全性评估报告。报告应对信息系统密码应用情况进行全面排查，梳理密码应用需求，查找风险漏洞，提出科学合规、具体实用、有针对性的密码应用安全整改方案，规范密码应用，并协助甲方完成整改。</w:t>
      </w:r>
    </w:p>
    <w:p w14:paraId="24A5652E">
      <w:pPr>
        <w:adjustRightInd w:val="0"/>
        <w:spacing w:line="360" w:lineRule="auto"/>
        <w:ind w:firstLine="480" w:firstLineChars="200"/>
        <w:rPr>
          <w:rFonts w:hint="eastAsia" w:ascii="Times New Roman" w:hAnsi="Times New Roman" w:cs="Times New Roman" w:eastAsiaTheme="minorEastAsia"/>
          <w:sz w:val="24"/>
          <w:highlight w:val="none"/>
        </w:rPr>
      </w:pPr>
      <w:r>
        <w:t>（4）乙方应完成密码应用方案的评审工作，并在方案编制、项目实施、整改阶段提供技术支持。</w:t>
      </w:r>
    </w:p>
    <w:p w14:paraId="78275BD7">
      <w:pPr>
        <w:adjustRightInd/>
        <w:spacing w:line="360" w:lineRule="auto"/>
        <w:ind w:firstLine="482" w:firstLineChars="200"/>
        <w:rPr>
          <w:rFonts w:hint="eastAsia" w:ascii="Times New Roman" w:hAnsi="Times New Roman" w:cs="Times New Roman" w:eastAsiaTheme="minorEastAsia"/>
          <w:b/>
          <w:bCs/>
          <w:sz w:val="24"/>
          <w:highlight w:val="none"/>
        </w:rPr>
      </w:pPr>
      <w:r/>
    </w:p>
    <w:p w14:paraId="16554100">
      <w:pPr>
        <w:spacing w:line="360" w:lineRule="auto"/>
        <w:ind w:firstLine="482" w:firstLineChars="200"/>
        <w:rPr>
          <w:rFonts w:eastAsiaTheme="minorEastAsia"/>
          <w:b/>
          <w:bCs/>
          <w:sz w:val="24"/>
          <w:highlight w:val="none"/>
        </w:rPr>
      </w:pPr>
      <w:r>
        <w:t>二、组成合同的文件</w:t>
      </w:r>
    </w:p>
    <w:p w14:paraId="566801D1">
      <w:pPr>
        <w:spacing w:line="360" w:lineRule="auto"/>
        <w:ind w:firstLine="480" w:firstLineChars="200"/>
        <w:rPr>
          <w:snapToGrid w:val="0"/>
          <w:color w:val="000000"/>
          <w:kern w:val="0"/>
          <w:sz w:val="24"/>
          <w:highlight w:val="none"/>
        </w:rPr>
      </w:pPr>
      <w:r>
        <w:t>本合同与下列文件一起构成合同文件，如下述文件之间有任何抵触、矛盾或歧义，应按以下顺序解释：</w:t>
      </w:r>
    </w:p>
    <w:p w14:paraId="6F1A9EDE">
      <w:pPr>
        <w:widowControl/>
        <w:kinsoku w:val="0"/>
        <w:autoSpaceDE w:val="0"/>
        <w:autoSpaceDN w:val="0"/>
        <w:adjustRightInd w:val="0"/>
        <w:snapToGrid w:val="0"/>
        <w:spacing w:before="0" w:line="360" w:lineRule="auto"/>
        <w:ind w:firstLine="464" w:firstLineChars="200"/>
        <w:jc w:val="left"/>
        <w:textAlignment w:val="baseline"/>
        <w:rPr>
          <w:snapToGrid w:val="0"/>
          <w:color w:val="000000"/>
          <w:kern w:val="0"/>
          <w:sz w:val="24"/>
          <w:highlight w:val="none"/>
        </w:rPr>
      </w:pPr>
      <w:r>
        <w:t>（1）本合同及变更协议、附件协议；</w:t>
      </w:r>
    </w:p>
    <w:p w14:paraId="73B46B1C">
      <w:pPr>
        <w:widowControl/>
        <w:kinsoku w:val="0"/>
        <w:autoSpaceDE w:val="0"/>
        <w:autoSpaceDN w:val="0"/>
        <w:adjustRightInd w:val="0"/>
        <w:snapToGrid w:val="0"/>
        <w:spacing w:line="360" w:lineRule="auto"/>
        <w:ind w:firstLine="440" w:firstLineChars="200"/>
        <w:jc w:val="left"/>
        <w:textAlignment w:val="baseline"/>
        <w:rPr>
          <w:rFonts w:eastAsiaTheme="minorEastAsia"/>
          <w:b/>
          <w:bCs/>
          <w:sz w:val="24"/>
          <w:highlight w:val="none"/>
        </w:rPr>
      </w:pPr>
      <w:r>
        <w:t>（2）合同约定的作为合同组成部分的其他文件。</w:t>
      </w:r>
    </w:p>
    <w:p w14:paraId="18FB47E9">
      <w:pPr>
        <w:adjustRightInd w:val="0"/>
        <w:spacing w:line="360" w:lineRule="auto"/>
        <w:ind w:firstLine="482" w:firstLineChars="200"/>
        <w:rPr>
          <w:rFonts w:hint="eastAsia" w:ascii="Times New Roman" w:hAnsi="Times New Roman" w:cs="Times New Roman" w:eastAsiaTheme="minorEastAsia"/>
          <w:b/>
          <w:bCs/>
          <w:sz w:val="24"/>
          <w:highlight w:val="none"/>
        </w:rPr>
      </w:pPr>
      <w:r>
        <w:t>三、协议责任</w:t>
      </w:r>
    </w:p>
    <w:p w14:paraId="7B027268">
      <w:pPr>
        <w:numPr>
          <w:ilvl w:val="255"/>
          <w:numId w:val="0"/>
        </w:numPr>
        <w:adjustRightInd w:val="0"/>
        <w:spacing w:line="360" w:lineRule="auto"/>
        <w:ind w:left="0" w:firstLine="480" w:firstLineChars="200"/>
        <w:rPr>
          <w:rFonts w:eastAsiaTheme="minorEastAsia"/>
          <w:sz w:val="24"/>
          <w:highlight w:val="none"/>
        </w:rPr>
      </w:pPr>
      <w:r>
        <w:t>1、甲方应按协议要求向乙方交付费用。</w:t>
      </w:r>
    </w:p>
    <w:p w14:paraId="27EC0BE6">
      <w:pPr>
        <w:numPr>
          <w:ilvl w:val="255"/>
          <w:numId w:val="0"/>
        </w:numPr>
        <w:adjustRightInd w:val="0"/>
        <w:spacing w:line="360" w:lineRule="auto"/>
        <w:ind w:left="0" w:firstLine="480" w:firstLineChars="200"/>
        <w:rPr>
          <w:rFonts w:eastAsiaTheme="minorEastAsia"/>
          <w:sz w:val="24"/>
          <w:highlight w:val="none"/>
        </w:rPr>
      </w:pPr>
      <w:r>
        <w:t>2、甲、乙双方应积极配合保证测评、评估工作顺利进行，因一方责任导致测评、评估工作延期的，应当以本项目费用的千分之二为标准按日向对方计付违约金。</w:t>
      </w:r>
    </w:p>
    <w:p w14:paraId="259143CF">
      <w:pPr>
        <w:numPr>
          <w:ilvl w:val="255"/>
          <w:numId w:val="0"/>
        </w:numPr>
        <w:adjustRightInd w:val="0"/>
        <w:spacing w:line="360" w:lineRule="auto"/>
        <w:ind w:left="0" w:firstLine="480" w:firstLineChars="200"/>
        <w:rPr>
          <w:rFonts w:eastAsiaTheme="minorEastAsia"/>
          <w:sz w:val="24"/>
          <w:highlight w:val="none"/>
        </w:rPr>
      </w:pPr>
      <w:r>
        <w:t>3、乙方应按照《信息系统安全等级保护基本要求》和《商用密码应用安全性评估管理办法》进行测评和评估。</w:t>
      </w:r>
    </w:p>
    <w:p w14:paraId="50E31A17">
      <w:pPr>
        <w:numPr>
          <w:ilvl w:val="255"/>
          <w:numId w:val="0"/>
        </w:numPr>
        <w:adjustRightInd w:val="0"/>
        <w:spacing w:line="360" w:lineRule="auto"/>
        <w:ind w:left="0" w:firstLine="480" w:firstLineChars="200"/>
        <w:rPr>
          <w:rFonts w:eastAsiaTheme="minorEastAsia"/>
          <w:sz w:val="24"/>
          <w:highlight w:val="none"/>
        </w:rPr>
      </w:pPr>
      <w:r>
        <w:t>4、乙方在安全测评、评估开展之前，甲方应做好相应的系统数据备份等工作，乙方应明示具体的测试方法、采用的测试工具、操作步骤、参与的人员以及可能出现的风险。</w:t>
      </w:r>
    </w:p>
    <w:p w14:paraId="336CBF8B">
      <w:pPr>
        <w:numPr>
          <w:ilvl w:val="255"/>
          <w:numId w:val="0"/>
        </w:numPr>
        <w:adjustRightInd w:val="0"/>
        <w:spacing w:line="360" w:lineRule="auto"/>
        <w:ind w:left="0" w:firstLine="480" w:firstLineChars="200"/>
        <w:rPr>
          <w:rFonts w:eastAsiaTheme="minorEastAsia"/>
          <w:sz w:val="24"/>
          <w:highlight w:val="none"/>
        </w:rPr>
      </w:pPr>
      <w:r>
        <w:t>5、乙方在甲方现场测评、评估时，应遵守甲方的工作纪律，不破坏甲方的工作设备和软、硬件设施；如果乙方对甲方的工作设备和软、硬件设施造成破坏，应承担相应的赔偿责任。</w:t>
      </w:r>
    </w:p>
    <w:p w14:paraId="6DFD1381">
      <w:pPr>
        <w:numPr>
          <w:ilvl w:val="255"/>
          <w:numId w:val="0"/>
        </w:numPr>
        <w:adjustRightInd w:val="0"/>
        <w:spacing w:line="360" w:lineRule="auto"/>
        <w:ind w:left="0" w:firstLine="480" w:firstLineChars="200"/>
        <w:rPr>
          <w:rFonts w:eastAsiaTheme="minorEastAsia"/>
          <w:sz w:val="24"/>
          <w:highlight w:val="none"/>
        </w:rPr>
      </w:pPr>
      <w:r>
        <w:t>6、乙方应按时完成测评、评估工作，完成后出具书面测评、评估报告。</w:t>
      </w:r>
    </w:p>
    <w:p w14:paraId="20E23E2A">
      <w:pPr>
        <w:numPr>
          <w:ilvl w:val="255"/>
          <w:numId w:val="0"/>
        </w:numPr>
        <w:adjustRightInd w:val="0"/>
        <w:spacing w:line="360" w:lineRule="auto"/>
        <w:ind w:left="0" w:firstLine="480" w:firstLineChars="200"/>
        <w:rPr>
          <w:rFonts w:eastAsiaTheme="minorEastAsia"/>
          <w:sz w:val="24"/>
          <w:highlight w:val="none"/>
        </w:rPr>
      </w:pPr>
      <w:r>
        <w:t>7、乙方出具的测评、评估报告应包括对被测信息系统的检查结果及安全等级符合情况（或根据实际需要填写）。</w:t>
      </w:r>
    </w:p>
    <w:p w14:paraId="6937E316">
      <w:pPr>
        <w:adjustRightInd w:val="0"/>
        <w:spacing w:line="360" w:lineRule="auto"/>
        <w:ind w:firstLine="482" w:firstLineChars="200"/>
        <w:rPr>
          <w:rFonts w:hint="eastAsia" w:ascii="Times New Roman" w:hAnsi="Times New Roman" w:cs="Times New Roman" w:eastAsiaTheme="minorEastAsia"/>
          <w:b/>
          <w:bCs/>
          <w:sz w:val="24"/>
          <w:highlight w:val="none"/>
        </w:rPr>
      </w:pPr>
      <w:r>
        <w:t>四、工作成果提交和验收方式</w:t>
      </w:r>
    </w:p>
    <w:p w14:paraId="200FA693">
      <w:pPr>
        <w:adjustRightInd w:val="0"/>
        <w:spacing w:line="360" w:lineRule="auto"/>
        <w:ind w:firstLine="480" w:firstLineChars="200"/>
        <w:rPr>
          <w:rFonts w:hint="eastAsia" w:ascii="Times New Roman" w:hAnsi="Times New Roman" w:cs="Times New Roman" w:eastAsiaTheme="minorEastAsia"/>
          <w:color w:val="auto"/>
          <w:sz w:val="24"/>
          <w:highlight w:val="none"/>
        </w:rPr>
      </w:pPr>
      <w:r>
        <w:t>1、网络安全等级保护测评服务成果：</w:t>
      </w:r>
    </w:p>
    <w:p w14:paraId="1376183E">
      <w:pPr>
        <w:adjustRightInd w:val="0"/>
        <w:spacing w:line="360" w:lineRule="auto"/>
        <w:ind w:firstLine="480" w:firstLineChars="200"/>
        <w:rPr>
          <w:rFonts w:hint="eastAsia" w:ascii="Times New Roman" w:hAnsi="Times New Roman" w:cs="Times New Roman" w:eastAsiaTheme="minorEastAsia"/>
          <w:color w:val="auto"/>
          <w:sz w:val="24"/>
          <w:highlight w:val="none"/>
        </w:rPr>
      </w:pPr>
      <w:r>
        <w:t>服务成果包括但不限于：《信息系统安全等级保护定级报告》、《信息系统等级保护测评报告》、《信息系统等级保护建议书》、协助获取备案号及备案证书等。纸质版2份、电子版1份；</w:t>
      </w:r>
    </w:p>
    <w:p w14:paraId="348CB6E6">
      <w:pPr>
        <w:adjustRightInd w:val="0"/>
        <w:spacing w:line="360" w:lineRule="auto"/>
        <w:ind w:firstLine="480" w:firstLineChars="200"/>
        <w:rPr>
          <w:rFonts w:hint="eastAsia" w:ascii="Times New Roman" w:hAnsi="Times New Roman" w:cs="Times New Roman" w:eastAsiaTheme="minorEastAsia"/>
          <w:color w:val="auto"/>
          <w:sz w:val="24"/>
          <w:highlight w:val="none"/>
        </w:rPr>
      </w:pPr>
      <w:r>
        <w:t>2、商用密码应用安全性评估服务成果：</w:t>
      </w:r>
    </w:p>
    <w:p w14:paraId="15516E1F">
      <w:pPr>
        <w:adjustRightInd w:val="0"/>
        <w:spacing w:line="360" w:lineRule="auto"/>
        <w:ind w:firstLine="480" w:firstLineChars="200"/>
        <w:rPr>
          <w:sz w:val="24"/>
          <w:highlight w:val="none"/>
        </w:rPr>
      </w:pPr>
      <w:r>
        <w:t>服务成果包括但不限于：《商用密码应用安全性评估报告》、《商用密码安全性评估建议书》。纸质版2份、电子版1份；</w:t>
      </w:r>
    </w:p>
    <w:p w14:paraId="517D2F4C">
      <w:pPr>
        <w:adjustRightInd w:val="0"/>
        <w:spacing w:line="360" w:lineRule="auto"/>
        <w:ind w:firstLine="480" w:firstLineChars="200"/>
        <w:rPr>
          <w:b w:val="0"/>
          <w:bCs w:val="0"/>
          <w:sz w:val="24"/>
          <w:highlight w:val="none"/>
        </w:rPr>
      </w:pPr>
      <w:r>
        <w:t>3、验收方式</w:t>
      </w:r>
    </w:p>
    <w:p w14:paraId="7EB49B79">
      <w:pPr>
        <w:adjustRightInd/>
        <w:spacing w:line="360" w:lineRule="auto"/>
        <w:ind w:firstLine="480" w:firstLineChars="200"/>
        <w:rPr>
          <w:rFonts w:hint="eastAsia" w:ascii="Times New Roman" w:hAnsi="Times New Roman" w:cs="Times New Roman" w:eastAsiaTheme="minorEastAsia"/>
          <w:color w:val="auto"/>
          <w:sz w:val="24"/>
          <w:highlight w:val="none"/>
        </w:rPr>
      </w:pPr>
      <w:r>
        <w:t>乙方在测评和评估工作完毕提交工作成果，经甲方确认乙方各项工作无误后，双方签字验收确认手续。</w:t>
      </w:r>
    </w:p>
    <w:p w14:paraId="6FFA698F">
      <w:pPr>
        <w:adjustRightInd w:val="0"/>
        <w:spacing w:line="360" w:lineRule="auto"/>
        <w:ind w:firstLine="482" w:firstLineChars="200"/>
        <w:rPr>
          <w:rFonts w:hint="eastAsia" w:ascii="Times New Roman" w:hAnsi="Times New Roman" w:cs="Times New Roman" w:eastAsiaTheme="minorEastAsia"/>
          <w:b/>
          <w:bCs/>
          <w:sz w:val="24"/>
          <w:highlight w:val="none"/>
        </w:rPr>
      </w:pPr>
      <w:r>
        <w:t>五、服务履行期限和地点</w:t>
      </w:r>
    </w:p>
    <w:p w14:paraId="74B08C08">
      <w:pPr>
        <w:spacing w:before="0" w:beforeLines="-2147483648" w:line="360" w:lineRule="auto"/>
        <w:ind w:firstLine="482" w:firstLineChars="200"/>
        <w:rPr>
          <w:rFonts w:hint="eastAsia" w:ascii="Times New Roman" w:hAnsi="Times New Roman" w:cs="Times New Roman" w:eastAsiaTheme="minorEastAsia"/>
          <w:color w:val="000000" w:themeColor="text1"/>
          <w:sz w:val="24"/>
          <w:highlight w:val="none"/>
          <w14:textFill>
            <w14:solidFill>
              <w14:schemeClr w14:val="tx1"/>
            </w14:solidFill>
          </w14:textFill>
        </w:rPr>
      </w:pPr>
      <w:r>
        <w:t>（一）服务履行期限：本合同签订之日起，乙方按甲方审核通过的整体实施方案提供相关服务，直至完成所有测评工作，提交项目成果并通过合同验收时为止。</w:t>
      </w:r>
    </w:p>
    <w:p w14:paraId="33F8FD20">
      <w:pPr>
        <w:spacing w:line="360" w:lineRule="auto"/>
        <w:ind w:firstLine="482" w:firstLineChars="200"/>
        <w:rPr>
          <w:rFonts w:hint="eastAsia" w:ascii="Times New Roman" w:hAnsi="Times New Roman" w:cs="Times New Roman" w:eastAsiaTheme="minorEastAsia"/>
          <w:bCs/>
          <w:color w:val="000000" w:themeColor="text1"/>
          <w:sz w:val="24"/>
          <w:highlight w:val="none"/>
          <w14:textFill>
            <w14:solidFill>
              <w14:schemeClr w14:val="tx1"/>
            </w14:solidFill>
          </w14:textFill>
        </w:rPr>
      </w:pPr>
      <w:r>
        <w:t>（二）服务履行地点：采购人指定地点。</w:t>
      </w:r>
    </w:p>
    <w:p w14:paraId="08A7A087">
      <w:pPr>
        <w:adjustRightInd w:val="0"/>
        <w:spacing w:line="360" w:lineRule="auto"/>
        <w:ind w:firstLine="482" w:firstLineChars="200"/>
        <w:rPr>
          <w:rFonts w:hint="eastAsia" w:ascii="Times New Roman" w:hAnsi="Times New Roman" w:cs="Times New Roman" w:eastAsiaTheme="minorEastAsia"/>
          <w:b/>
          <w:bCs/>
          <w:sz w:val="24"/>
          <w:highlight w:val="none"/>
        </w:rPr>
      </w:pPr>
      <w:r>
        <w:t>六、所需费用及支付方式</w:t>
      </w:r>
    </w:p>
    <w:p w14:paraId="21C61005">
      <w:pPr>
        <w:adjustRightInd w:val="0"/>
        <w:spacing w:line="360" w:lineRule="auto"/>
        <w:ind w:firstLine="480" w:firstLineChars="200"/>
        <w:rPr>
          <w:rFonts w:hint="eastAsia" w:ascii="Times New Roman" w:hAnsi="Times New Roman" w:cs="Times New Roman" w:eastAsiaTheme="minorEastAsia"/>
          <w:sz w:val="24"/>
          <w:highlight w:val="none"/>
        </w:rPr>
      </w:pPr>
      <w:r>
        <w:t>（一）本合同金额共计人民币 （大写）{{合同金额}}元整（小写：{{付款金额}}）。</w:t>
      </w:r>
    </w:p>
    <w:p w14:paraId="79745C80">
      <w:pPr>
        <w:pStyle w:val="11"/>
        <w:spacing w:line="360" w:lineRule="auto"/>
        <w:ind w:firstLine="480" w:firstLineChars="200"/>
        <w:jc w:val="left"/>
        <w:rPr>
          <w:rFonts w:hint="eastAsia" w:ascii="宋体" w:eastAsia="宋体"/>
          <w:sz w:val="24"/>
          <w:szCs w:val="24"/>
        </w:rPr>
      </w:pPr>
      <w:r>
        <w:t>（二）支付方式（二选一）：</w:t>
      </w:r>
    </w:p>
    <w:p w14:paraId="000D99F5">
      <w:pPr>
        <w:pStyle w:val="11"/>
        <w:spacing w:line="360" w:lineRule="auto"/>
        <w:ind w:firstLine="480" w:firstLineChars="200"/>
        <w:jc w:val="left"/>
        <w:rPr>
          <w:rFonts w:hint="eastAsia" w:ascii="宋体" w:eastAsia="宋体"/>
          <w:sz w:val="24"/>
          <w:szCs w:val="24"/>
        </w:rPr>
      </w:pPr>
      <w:r>
        <w:t>（1）一次性支付（√）</w:t>
      </w:r>
    </w:p>
    <w:p w14:paraId="24D7FE6F">
      <w:pPr>
        <w:pStyle w:val="11"/>
        <w:spacing w:line="360" w:lineRule="auto"/>
        <w:ind w:firstLine="480" w:firstLineChars="200"/>
        <w:jc w:val="left"/>
        <w:rPr>
          <w:rFonts w:hint="eastAsia" w:ascii="宋体" w:eastAsia="宋体"/>
          <w:sz w:val="24"/>
          <w:szCs w:val="24"/>
        </w:rPr>
      </w:pPr>
      <w:r>
        <w:t>甲方收到乙方项目成果报告且验收合格后五个工作日内，乙方向甲方开具合同额{{付款比例}}的增值税专用发票，甲方收到发票后向乙方支付本项目全部款项。即：RMB¥        元(人民币       元整)；</w:t>
      </w:r>
    </w:p>
    <w:p w14:paraId="0D48A52C">
      <w:pPr>
        <w:pStyle w:val="11"/>
        <w:spacing w:line="360" w:lineRule="auto"/>
        <w:ind w:firstLine="480" w:firstLineChars="200"/>
        <w:jc w:val="left"/>
        <w:rPr>
          <w:rFonts w:hint="eastAsia" w:ascii="宋体" w:eastAsia="宋体"/>
          <w:sz w:val="24"/>
          <w:szCs w:val="24"/>
        </w:rPr>
      </w:pPr>
      <w:r>
        <w:t>（2）分期支付（×）</w:t>
      </w:r>
    </w:p>
    <w:p w14:paraId="36F5369E">
      <w:pPr>
        <w:pStyle w:val="11"/>
        <w:spacing w:line="360" w:lineRule="auto"/>
        <w:ind w:firstLine="480" w:firstLineChars="200"/>
        <w:jc w:val="left"/>
        <w:rPr>
          <w:rFonts w:hint="eastAsia" w:ascii="宋体" w:eastAsia="宋体"/>
          <w:sz w:val="24"/>
          <w:szCs w:val="24"/>
        </w:rPr>
      </w:pPr>
      <w:r>
        <w:t>协议签署后五个工作日之内，乙方向甲方开具合同额70%的增值税专用发票，甲方收到发票后三十个工作日内向乙方支付首付款。即：RMB¥        元；(人民币        元整)；</w:t>
      </w:r>
    </w:p>
    <w:p w14:paraId="783D16A0">
      <w:pPr>
        <w:pStyle w:val="11"/>
        <w:wordWrap w:val="0"/>
        <w:topLinePunct/>
        <w:spacing w:line="360" w:lineRule="auto"/>
        <w:ind w:firstLine="480" w:firstLineChars="200"/>
        <w:jc w:val="left"/>
        <w:rPr>
          <w:rFonts w:hint="eastAsia" w:ascii="宋体" w:eastAsia="宋体"/>
          <w:sz w:val="24"/>
          <w:szCs w:val="24"/>
        </w:rPr>
      </w:pPr>
      <w:r>
        <w:t>甲方出具验收合格证明后五个工作日内，乙方向甲方开具剩余30%增值税专用发票，甲方收到发票后三十个工作日内向乙方支付剩余款项，即：RMB¥     _元；(人民币     元整)。</w:t>
      </w:r>
    </w:p>
    <w:p w14:paraId="4E3BF3BD">
      <w:pPr>
        <w:adjustRightInd w:val="0"/>
        <w:spacing w:line="360" w:lineRule="auto"/>
        <w:ind w:firstLine="480" w:firstLineChars="200"/>
        <w:rPr>
          <w:rFonts w:hint="eastAsia" w:ascii="Times New Roman" w:hAnsi="Times New Roman" w:cs="Times New Roman" w:eastAsiaTheme="minorEastAsia"/>
          <w:sz w:val="24"/>
          <w:highlight w:val="none"/>
        </w:rPr>
      </w:pPr>
      <w:r/>
    </w:p>
    <w:p w14:paraId="5FC44C43">
      <w:pPr>
        <w:adjustRightInd w:val="0"/>
        <w:spacing w:line="360" w:lineRule="auto"/>
        <w:ind w:firstLine="482" w:firstLineChars="200"/>
        <w:rPr>
          <w:rFonts w:hint="eastAsia" w:ascii="Times New Roman" w:hAnsi="Times New Roman" w:cs="Times New Roman" w:eastAsiaTheme="minorEastAsia"/>
          <w:b/>
          <w:bCs/>
          <w:sz w:val="24"/>
          <w:highlight w:val="none"/>
        </w:rPr>
      </w:pPr>
      <w:r>
        <w:t>七、免责条款</w:t>
      </w:r>
    </w:p>
    <w:p w14:paraId="08AE867A">
      <w:pPr>
        <w:numPr>
          <w:ilvl w:val="255"/>
          <w:numId w:val="0"/>
        </w:numPr>
        <w:adjustRightInd w:val="0"/>
        <w:spacing w:line="360" w:lineRule="auto"/>
        <w:ind w:firstLine="480" w:firstLineChars="200"/>
        <w:rPr>
          <w:rFonts w:eastAsiaTheme="minorEastAsia"/>
          <w:sz w:val="24"/>
          <w:highlight w:val="none"/>
        </w:rPr>
      </w:pPr>
      <w:r>
        <w:t>1、甲方应积极配合乙方进行测评、评估工作，保证提供的相关资料真实可靠，在测评过程中不设置障碍，因非乙方原因导致测评工作无法正常进行或按时完成，乙方不承担违约责任。</w:t>
      </w:r>
    </w:p>
    <w:p w14:paraId="2A69AB85">
      <w:pPr>
        <w:numPr>
          <w:ilvl w:val="255"/>
          <w:numId w:val="0"/>
        </w:numPr>
        <w:adjustRightInd w:val="0"/>
        <w:spacing w:line="360" w:lineRule="auto"/>
        <w:ind w:firstLine="480" w:firstLineChars="200"/>
        <w:rPr>
          <w:rFonts w:eastAsiaTheme="minorEastAsia"/>
          <w:sz w:val="24"/>
          <w:highlight w:val="none"/>
        </w:rPr>
      </w:pPr>
      <w:r>
        <w:t>2、甲方应在乙方开始评测前做好系统数据备份等准备工作，因非乙方的原因导致甲方的经济损失，乙方不承担责任。</w:t>
      </w:r>
    </w:p>
    <w:p w14:paraId="32E5E5CF">
      <w:pPr>
        <w:numPr>
          <w:ilvl w:val="255"/>
          <w:numId w:val="0"/>
        </w:numPr>
        <w:adjustRightInd w:val="0"/>
        <w:spacing w:line="360" w:lineRule="auto"/>
        <w:ind w:firstLine="480" w:firstLineChars="200"/>
        <w:rPr>
          <w:rFonts w:eastAsiaTheme="minorEastAsia"/>
          <w:sz w:val="24"/>
          <w:highlight w:val="none"/>
        </w:rPr>
      </w:pPr>
      <w:r>
        <w:t>3、乙方出具的测试结论只针对用户现有的网络与信息系统，不涉及该系统结构或功能等要素发生变化后的情况。</w:t>
      </w:r>
    </w:p>
    <w:p w14:paraId="38ADFD88">
      <w:pPr>
        <w:adjustRightInd w:val="0"/>
        <w:spacing w:line="360" w:lineRule="auto"/>
        <w:ind w:firstLine="482" w:firstLineChars="200"/>
        <w:rPr>
          <w:rFonts w:ascii="Times New Roman" w:hAnsi="Times New Roman" w:eastAsiaTheme="minorEastAsia"/>
          <w:b/>
          <w:bCs/>
          <w:sz w:val="24"/>
          <w:szCs w:val="24"/>
          <w:highlight w:val="none"/>
        </w:rPr>
      </w:pPr>
      <w:r>
        <w:t>八、本项目的技术秘密保密范围和期限</w:t>
      </w:r>
    </w:p>
    <w:p w14:paraId="05E42141">
      <w:pPr>
        <w:numPr>
          <w:ilvl w:val="255"/>
          <w:numId w:val="0"/>
        </w:numPr>
        <w:adjustRightInd w:val="0"/>
        <w:spacing w:line="360" w:lineRule="auto"/>
        <w:ind w:left="0" w:firstLine="480" w:firstLineChars="200"/>
        <w:rPr>
          <w:rFonts w:eastAsiaTheme="minorEastAsia"/>
          <w:sz w:val="24"/>
          <w:highlight w:val="none"/>
        </w:rPr>
      </w:pPr>
      <w:r>
        <w:t>1、在测评期间及测评工作结束后，一方应将另一方提供的资料和信息限制在与本测评有关的人员、保密协议签署者范围内，不应发表或提供给第三方，并不得使用于本协议之外的目的。该条款不因协议的终止、解除而失效。</w:t>
      </w:r>
    </w:p>
    <w:p w14:paraId="1BDC5BBC">
      <w:pPr>
        <w:numPr>
          <w:ilvl w:val="255"/>
          <w:numId w:val="0"/>
        </w:numPr>
        <w:adjustRightInd w:val="0"/>
        <w:spacing w:line="360" w:lineRule="auto"/>
        <w:ind w:left="0" w:firstLine="480" w:firstLineChars="200"/>
        <w:rPr>
          <w:rFonts w:eastAsiaTheme="minorEastAsia"/>
          <w:sz w:val="24"/>
          <w:highlight w:val="none"/>
        </w:rPr>
      </w:pPr>
      <w:r>
        <w:t>2、一方或其工作人员违反前款规定给对方造成损失的，应当负责赔偿。</w:t>
      </w:r>
    </w:p>
    <w:p w14:paraId="6FB7F9B6">
      <w:pPr>
        <w:adjustRightInd w:val="0"/>
        <w:spacing w:line="360" w:lineRule="auto"/>
        <w:ind w:firstLine="482" w:firstLineChars="200"/>
        <w:rPr>
          <w:rFonts w:ascii="Times New Roman" w:hAnsi="Times New Roman" w:eastAsiaTheme="minorEastAsia"/>
          <w:b/>
          <w:bCs/>
          <w:sz w:val="24"/>
          <w:szCs w:val="24"/>
          <w:highlight w:val="none"/>
        </w:rPr>
      </w:pPr>
      <w:r>
        <w:t>十、不可抗力</w:t>
      </w:r>
    </w:p>
    <w:p w14:paraId="7FF3A0B7">
      <w:pPr>
        <w:adjustRightInd w:val="0"/>
        <w:spacing w:line="360" w:lineRule="auto"/>
        <w:ind w:firstLine="480" w:firstLineChars="200"/>
        <w:rPr>
          <w:rFonts w:eastAsiaTheme="minorEastAsia"/>
          <w:sz w:val="24"/>
          <w:highlight w:val="none"/>
        </w:rPr>
      </w:pPr>
      <w:r>
        <w:t>如果一方或双方因出现水灾、火灾、台风、地震、战争或其它不可抗力因素不能正常履行协议，须在15个工作日内通知对方，并出具证明文件。按事件对履行协议的影响程度，由双方协商决定是否解除协议，部分免除或延期履行协议的责任。</w:t>
      </w:r>
    </w:p>
    <w:p w14:paraId="2F6B34FB">
      <w:pPr>
        <w:adjustRightInd w:val="0"/>
        <w:spacing w:line="360" w:lineRule="auto"/>
        <w:ind w:firstLine="482" w:firstLineChars="200"/>
        <w:rPr>
          <w:rFonts w:hint="eastAsia" w:ascii="Times New Roman" w:hAnsi="Times New Roman" w:cs="Times New Roman" w:eastAsiaTheme="minorEastAsia"/>
          <w:b/>
          <w:bCs/>
          <w:sz w:val="24"/>
          <w:highlight w:val="none"/>
        </w:rPr>
      </w:pPr>
      <w:r>
        <w:t>十一、解决合同纠纷的方式</w:t>
      </w:r>
    </w:p>
    <w:p w14:paraId="3EDC4AB0">
      <w:pPr>
        <w:adjustRightInd w:val="0"/>
        <w:spacing w:line="360" w:lineRule="auto"/>
        <w:ind w:firstLine="480" w:firstLineChars="200"/>
        <w:rPr>
          <w:rFonts w:hint="eastAsia" w:ascii="Times New Roman" w:hAnsi="Times New Roman" w:cs="Times New Roman" w:eastAsiaTheme="minorEastAsia"/>
          <w:sz w:val="24"/>
          <w:highlight w:val="none"/>
        </w:rPr>
      </w:pPr>
      <w:r>
        <w:t>1、本合同的未尽事宜，本着项目顺利实施的原则，由双方友好协商解决。</w:t>
      </w:r>
    </w:p>
    <w:p w14:paraId="242A230C">
      <w:pPr>
        <w:adjustRightInd w:val="0"/>
        <w:spacing w:line="360" w:lineRule="auto"/>
        <w:ind w:firstLine="480" w:firstLineChars="200"/>
        <w:rPr>
          <w:rFonts w:hint="eastAsia" w:ascii="Times New Roman" w:hAnsi="Times New Roman" w:cs="Times New Roman" w:eastAsiaTheme="minorEastAsia"/>
          <w:sz w:val="24"/>
          <w:highlight w:val="none"/>
        </w:rPr>
      </w:pPr>
      <w:r>
        <w:t>2、本合同在履行过程中发生的争议，由甲乙双方友好协商解决，如协商不能达成一致，按下列第 {{争议解决方式}} 种方式解决：</w:t>
      </w:r>
    </w:p>
    <w:p w14:paraId="7F8F466B">
      <w:pPr>
        <w:adjustRightInd w:val="0"/>
        <w:spacing w:line="360" w:lineRule="auto"/>
        <w:ind w:left="0" w:leftChars="0" w:firstLine="480" w:firstLineChars="200"/>
        <w:rPr>
          <w:rFonts w:hint="eastAsia" w:ascii="Times New Roman" w:hAnsi="Times New Roman" w:cs="Times New Roman" w:eastAsiaTheme="minorEastAsia"/>
          <w:sz w:val="24"/>
          <w:highlight w:val="none"/>
        </w:rPr>
      </w:pPr>
      <w:r>
        <w:t>（一）提交{{仲裁机构}}仲裁委员会仲裁；</w:t>
      </w:r>
    </w:p>
    <w:p w14:paraId="368D6684">
      <w:pPr>
        <w:adjustRightInd w:val="0"/>
        <w:spacing w:line="360" w:lineRule="auto"/>
        <w:ind w:left="0" w:leftChars="0" w:firstLine="480" w:firstLineChars="200"/>
        <w:rPr>
          <w:rFonts w:hint="eastAsia" w:ascii="Times New Roman" w:hAnsi="Times New Roman" w:cs="Times New Roman" w:eastAsiaTheme="minorEastAsia"/>
          <w:sz w:val="24"/>
          <w:highlight w:val="none"/>
        </w:rPr>
      </w:pPr>
      <w:r>
        <w:t>（二）依法向 甲方所在地法院  起诉。</w:t>
      </w:r>
    </w:p>
    <w:p w14:paraId="69A2A24E">
      <w:pPr>
        <w:adjustRightInd w:val="0"/>
        <w:spacing w:line="360" w:lineRule="auto"/>
        <w:ind w:firstLine="482" w:firstLineChars="200"/>
        <w:rPr>
          <w:rFonts w:hint="eastAsia" w:ascii="Times New Roman" w:hAnsi="Times New Roman" w:cs="Times New Roman" w:eastAsiaTheme="minorEastAsia"/>
          <w:b/>
          <w:bCs/>
          <w:sz w:val="24"/>
          <w:highlight w:val="none"/>
        </w:rPr>
      </w:pPr>
      <w:r>
        <w:t xml:space="preserve">十二、其他条款 </w:t>
      </w:r>
    </w:p>
    <w:p w14:paraId="1F3967B3">
      <w:pPr>
        <w:numPr>
          <w:ilvl w:val="255"/>
          <w:numId w:val="0"/>
        </w:numPr>
        <w:adjustRightInd w:val="0"/>
        <w:spacing w:line="360" w:lineRule="auto"/>
        <w:ind w:left="0" w:firstLine="480" w:firstLineChars="200"/>
        <w:rPr>
          <w:rFonts w:eastAsiaTheme="minorEastAsia"/>
          <w:sz w:val="24"/>
          <w:highlight w:val="none"/>
        </w:rPr>
      </w:pPr>
      <w:r>
        <w:t>1、一方如单方提出停止服务，经另一方签字确认后，乙方应退回已经支付的费用，提出方赔偿对方由此而造成的损失。该赔偿金额不少于合同费用的20%。</w:t>
      </w:r>
    </w:p>
    <w:p w14:paraId="784BFDF0">
      <w:pPr>
        <w:numPr>
          <w:ilvl w:val="255"/>
          <w:numId w:val="0"/>
        </w:numPr>
        <w:adjustRightInd w:val="0"/>
        <w:spacing w:line="360" w:lineRule="auto"/>
        <w:ind w:left="0" w:firstLine="480" w:firstLineChars="200"/>
        <w:rPr>
          <w:rFonts w:eastAsiaTheme="minorEastAsia"/>
          <w:sz w:val="24"/>
          <w:highlight w:val="none"/>
        </w:rPr>
      </w:pPr>
      <w:r>
        <w:t>2、本协议的未尽事宜，本着测评、评估顺利实施的原则，由双方友好协商解决。</w:t>
      </w:r>
    </w:p>
    <w:p w14:paraId="1659DE12">
      <w:pPr>
        <w:numPr>
          <w:ilvl w:val="255"/>
          <w:numId w:val="0"/>
        </w:numPr>
        <w:adjustRightInd w:val="0"/>
        <w:spacing w:line="360" w:lineRule="auto"/>
        <w:ind w:left="0" w:firstLine="480" w:firstLineChars="200"/>
        <w:rPr>
          <w:rFonts w:eastAsiaTheme="minorEastAsia"/>
          <w:sz w:val="24"/>
          <w:highlight w:val="none"/>
        </w:rPr>
      </w:pPr>
      <w:r>
        <w:t>3、本协议经甲乙双方单位签字盖章，立即生效。</w:t>
      </w:r>
    </w:p>
    <w:p w14:paraId="10A91203">
      <w:pPr>
        <w:numPr>
          <w:ilvl w:val="255"/>
          <w:numId w:val="0"/>
        </w:numPr>
        <w:adjustRightInd w:val="0"/>
        <w:spacing w:line="360" w:lineRule="auto"/>
        <w:ind w:left="0" w:firstLine="480" w:firstLineChars="200"/>
        <w:rPr>
          <w:rFonts w:eastAsiaTheme="minorEastAsia"/>
          <w:sz w:val="24"/>
          <w:highlight w:val="none"/>
        </w:rPr>
      </w:pPr>
      <w:r>
        <w:t>4、本协议一式六份，甲乙双方各执三份，附件具有同等法律效力。</w:t>
      </w:r>
    </w:p>
    <w:p w14:paraId="4124BCC7">
      <w:pPr>
        <w:numPr>
          <w:ilvl w:val="255"/>
          <w:numId w:val="0"/>
        </w:numPr>
        <w:adjustRightInd w:val="0"/>
        <w:spacing w:line="360" w:lineRule="auto"/>
        <w:ind w:left="0" w:firstLine="480" w:firstLineChars="200"/>
        <w:rPr>
          <w:rFonts w:hint="eastAsia" w:eastAsiaTheme="minorEastAsia"/>
          <w:sz w:val="24"/>
          <w:highlight w:val="none"/>
        </w:rPr>
      </w:pPr>
      <w:r>
        <w:t>5、本协议任何修改和补充都应采用书面形式，并经双方授权代表签字盖章后生效。</w:t>
      </w:r>
    </w:p>
    <w:p w14:paraId="0075FD53">
      <w:pPr>
        <w:keepNext w:val="0"/>
        <w:keepLines w:val="0"/>
        <w:pageBreakBefore w:val="0"/>
        <w:widowControl w:val="0"/>
        <w:numPr>
          <w:ilvl w:val="255"/>
          <w:numId w:val="0"/>
        </w:numPr>
        <w:kinsoku/>
        <w:wordWrap/>
        <w:overflowPunct/>
        <w:topLinePunct w:val="0"/>
        <w:autoSpaceDE/>
        <w:autoSpaceDN/>
        <w:bidi w:val="0"/>
        <w:adjustRightInd w:val="0"/>
        <w:snapToGrid/>
        <w:spacing w:line="360" w:lineRule="auto"/>
        <w:ind w:left="0" w:firstLine="0" w:firstLineChars="0"/>
        <w:jc w:val="center"/>
        <w:textAlignment w:val="auto"/>
        <w:rPr>
          <w:rFonts w:hint="eastAsia" w:eastAsiaTheme="minorEastAsia"/>
          <w:color w:val="000000" w:themeColor="text1"/>
          <w:sz w:val="24"/>
          <w:highlight w:val="none"/>
          <w14:textFill>
            <w14:solidFill>
              <w14:schemeClr w14:val="tx1"/>
            </w14:solidFill>
          </w14:textFill>
        </w:rPr>
      </w:pPr>
      <w:r>
        <w:t>（以下签署页，无正文）</w:t>
      </w:r>
    </w:p>
    <w:p w14:paraId="3D5BED39">
      <w:pPr>
        <w:adjustRightInd w:val="0"/>
        <w:spacing w:line="360" w:lineRule="auto"/>
        <w:ind w:firstLine="480"/>
        <w:rPr>
          <w:rFonts w:hint="eastAsia" w:ascii="宋体" w:hAnsi="宋体" w:cs="宋体"/>
          <w:sz w:val="24"/>
          <w:highlight w:val="none"/>
        </w:rPr>
      </w:pPr>
      <w:r/>
    </w:p>
    <w:p w14:paraId="4DD5E168">
      <w:pPr>
        <w:rPr>
          <w:rFonts w:hint="eastAsia" w:ascii="宋体" w:hAnsi="宋体" w:cs="宋体"/>
          <w:sz w:val="24"/>
          <w:highlight w:val="none"/>
        </w:rPr>
      </w:pPr>
      <w:r/>
    </w:p>
    <w:p w14:paraId="624FE2F2">
      <w:pPr>
        <w:adjustRightInd w:val="0"/>
        <w:spacing w:line="260" w:lineRule="exact"/>
        <w:jc w:val="center"/>
        <w:rPr>
          <w:rFonts w:hint="eastAsia" w:ascii="宋体" w:hAnsi="宋体" w:cs="宋体"/>
          <w:sz w:val="24"/>
          <w:highlight w:val="none"/>
          <w:lang w:val="en-US" w:eastAsia="zh-CN"/>
        </w:rPr>
      </w:pPr>
      <w:r>
        <w:t>（本页为签署页）</w:t>
      </w:r>
    </w:p>
    <w:p w14:paraId="5710E547">
      <w:pPr>
        <w:adjustRightInd w:val="0"/>
        <w:spacing w:line="260" w:lineRule="exact"/>
        <w:jc w:val="center"/>
        <w:rPr>
          <w:rFonts w:hint="eastAsia" w:ascii="宋体" w:hAnsi="宋体" w:cs="宋体"/>
          <w:sz w:val="24"/>
          <w:highlight w:val="none"/>
          <w:lang w:val="en-US" w:eastAsia="zh-CN"/>
        </w:rPr>
      </w:pPr>
      <w:r/>
    </w:p>
    <w:p w14:paraId="5ED9869D">
      <w:pPr>
        <w:adjustRightInd w:val="0"/>
        <w:spacing w:line="260" w:lineRule="exact"/>
        <w:jc w:val="center"/>
        <w:rPr>
          <w:rFonts w:hint="default" w:ascii="宋体" w:hAnsi="宋体" w:cs="宋体"/>
          <w:sz w:val="24"/>
          <w:highlight w:val="none"/>
          <w:lang w:val="en-US" w:eastAsia="zh-CN"/>
        </w:rPr>
      </w:pPr>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3"/>
        <w:gridCol w:w="4644"/>
      </w:tblGrid>
      <w:tr w14:paraId="65B64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5" w:hRule="atLeast"/>
        </w:trPr>
        <w:tc>
          <w:tcPr>
            <w:tcW w:w="4643" w:type="dxa"/>
            <w:vAlign w:val="center"/>
          </w:tcPr>
          <w:p>
            <w:r>
              <w:t>甲方：{{客户名称}}（盖章）</w:t>
            </w:r>
          </w:p>
        </w:tc>
        <w:tc>
          <w:tcPr>
            <w:tcW w:w="4644" w:type="dxa"/>
            <w:vAlign w:val="center"/>
          </w:tcPr>
          <w:p>
            <w:r>
              <w:t>乙方：{{我方名称}}（盖章）</w:t>
            </w:r>
          </w:p>
        </w:tc>
      </w:tr>
      <w:tr w14:paraId="6F524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3" w:hRule="atLeast"/>
        </w:trPr>
        <w:tc>
          <w:tcPr>
            <w:tcW w:w="4643" w:type="dxa"/>
            <w:vAlign w:val="center"/>
          </w:tcPr>
          <w:p w14:paraId="0F02B624">
            <w:pPr>
              <w:adjustRightInd w:val="0"/>
              <w:spacing w:line="360" w:lineRule="auto"/>
              <w:rPr>
                <w:rFonts w:hint="eastAsia" w:ascii="宋体" w:hAnsi="宋体" w:cs="宋体"/>
                <w:sz w:val="24"/>
                <w:highlight w:val="none"/>
              </w:rPr>
            </w:pPr>
            <w:r>
              <w:rPr>
                <w:rFonts w:hint="eastAsia" w:ascii="宋体" w:hAnsi="宋体" w:cs="宋体"/>
                <w:sz w:val="24"/>
                <w:highlight w:val="none"/>
              </w:rPr>
              <w:t>法定代表人</w:t>
            </w:r>
          </w:p>
          <w:p w14:paraId="177CA559">
            <w:pPr>
              <w:adjustRightInd w:val="0"/>
              <w:spacing w:line="360" w:lineRule="auto"/>
              <w:rPr>
                <w:rFonts w:hint="eastAsia" w:ascii="宋体" w:hAnsi="宋体" w:eastAsia="宋体" w:cs="宋体"/>
                <w:sz w:val="24"/>
                <w:highlight w:val="none"/>
                <w:vertAlign w:val="baseline"/>
                <w:lang w:eastAsia="zh-CN"/>
              </w:rPr>
            </w:pPr>
            <w:r>
              <w:rPr>
                <w:rFonts w:hint="eastAsia" w:ascii="宋体" w:hAnsi="宋体" w:cs="宋体"/>
                <w:sz w:val="24"/>
                <w:highlight w:val="none"/>
                <w:lang w:val="en-US" w:eastAsia="zh-CN"/>
              </w:rPr>
              <w:t>或其委托代理人</w:t>
            </w:r>
            <w:r>
              <w:rPr>
                <w:rFonts w:hint="eastAsia" w:ascii="宋体" w:hAnsi="宋体" w:cs="宋体"/>
                <w:sz w:val="24"/>
                <w:highlight w:val="none"/>
              </w:rPr>
              <w:t>：</w:t>
            </w:r>
            <w:r>
              <w:rPr>
                <w:rFonts w:hint="eastAsia" w:ascii="宋体" w:hAnsi="宋体" w:cs="宋体"/>
                <w:sz w:val="24"/>
                <w:highlight w:val="none"/>
                <w:u w:val="single"/>
              </w:rPr>
              <w:t xml:space="preserve">              </w:t>
            </w:r>
            <w:r>
              <w:rPr>
                <w:rFonts w:hint="eastAsia" w:ascii="宋体" w:hAnsi="宋体" w:cs="宋体"/>
                <w:sz w:val="24"/>
                <w:highlight w:val="none"/>
              </w:rPr>
              <w:t>（签章</w:t>
            </w:r>
            <w:r>
              <w:rPr>
                <w:rFonts w:hint="eastAsia" w:ascii="宋体" w:hAnsi="宋体" w:cs="宋体"/>
                <w:sz w:val="24"/>
                <w:highlight w:val="none"/>
                <w:lang w:eastAsia="zh-CN"/>
              </w:rPr>
              <w:t>）</w:t>
            </w:r>
          </w:p>
        </w:tc>
        <w:tc>
          <w:tcPr>
            <w:tcW w:w="4644" w:type="dxa"/>
            <w:shd w:val="clear" w:color="auto" w:fill="auto"/>
            <w:vAlign w:val="center"/>
          </w:tcPr>
          <w:p w14:paraId="10F85E71">
            <w:pPr>
              <w:adjustRightInd w:val="0"/>
              <w:spacing w:line="360" w:lineRule="auto"/>
              <w:rPr>
                <w:rFonts w:hint="eastAsia" w:ascii="宋体" w:hAnsi="宋体" w:cs="宋体"/>
                <w:sz w:val="24"/>
                <w:highlight w:val="none"/>
              </w:rPr>
            </w:pPr>
            <w:r>
              <w:rPr>
                <w:rFonts w:hint="eastAsia" w:ascii="宋体" w:hAnsi="宋体" w:cs="宋体"/>
                <w:sz w:val="24"/>
                <w:highlight w:val="none"/>
              </w:rPr>
              <w:t>法定代表人</w:t>
            </w:r>
          </w:p>
          <w:p w14:paraId="4ABBEAF7">
            <w:pPr>
              <w:adjustRightInd w:val="0"/>
              <w:spacing w:line="360" w:lineRule="auto"/>
              <w:rPr>
                <w:rFonts w:hint="eastAsia" w:ascii="宋体" w:hAnsi="宋体" w:eastAsia="宋体" w:cs="宋体"/>
                <w:kern w:val="2"/>
                <w:sz w:val="24"/>
                <w:szCs w:val="24"/>
                <w:highlight w:val="none"/>
                <w:vertAlign w:val="baseline"/>
                <w:lang w:val="en-US" w:eastAsia="zh-CN" w:bidi="ar-SA"/>
              </w:rPr>
            </w:pPr>
            <w:r>
              <w:rPr>
                <w:rFonts w:hint="eastAsia" w:ascii="宋体" w:hAnsi="宋体" w:cs="宋体"/>
                <w:sz w:val="24"/>
                <w:highlight w:val="none"/>
                <w:lang w:val="en-US" w:eastAsia="zh-CN"/>
              </w:rPr>
              <w:t>或其委托代理人</w:t>
            </w:r>
            <w:r>
              <w:rPr>
                <w:rFonts w:hint="eastAsia" w:ascii="宋体" w:hAnsi="宋体" w:cs="宋体"/>
                <w:sz w:val="24"/>
                <w:highlight w:val="none"/>
              </w:rPr>
              <w:t>：</w:t>
            </w:r>
            <w:r>
              <w:rPr>
                <w:rFonts w:hint="eastAsia" w:ascii="宋体" w:hAnsi="宋体" w:cs="宋体"/>
                <w:sz w:val="24"/>
                <w:highlight w:val="none"/>
                <w:u w:val="single"/>
              </w:rPr>
              <w:t xml:space="preserve">              </w:t>
            </w:r>
            <w:r>
              <w:rPr>
                <w:rFonts w:hint="eastAsia" w:ascii="宋体" w:hAnsi="宋体" w:cs="宋体"/>
                <w:sz w:val="24"/>
                <w:highlight w:val="none"/>
              </w:rPr>
              <w:t>（签章</w:t>
            </w:r>
            <w:r>
              <w:rPr>
                <w:rFonts w:hint="eastAsia" w:ascii="宋体" w:hAnsi="宋体" w:cs="宋体"/>
                <w:sz w:val="24"/>
                <w:highlight w:val="none"/>
                <w:lang w:eastAsia="zh-CN"/>
              </w:rPr>
              <w:t>）</w:t>
            </w:r>
          </w:p>
        </w:tc>
      </w:tr>
      <w:tr w14:paraId="3C7CB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4" w:hRule="atLeast"/>
        </w:trPr>
        <w:tc>
          <w:tcPr>
            <w:tcW w:w="4643" w:type="dxa"/>
            <w:vAlign w:val="center"/>
          </w:tcPr>
          <w:p>
            <w:r>
              <w:t>联 系 人：{{客户联系人}}</w:t>
            </w:r>
          </w:p>
        </w:tc>
        <w:tc>
          <w:tcPr>
            <w:tcW w:w="4644" w:type="dxa"/>
            <w:shd w:val="clear" w:color="auto" w:fill="auto"/>
            <w:vAlign w:val="center"/>
          </w:tcPr>
          <w:p>
            <w:r>
              <w:t>联 系 人：{{我方联系人}}</w:t>
            </w:r>
          </w:p>
        </w:tc>
      </w:tr>
      <w:tr w14:paraId="59826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7" w:hRule="atLeast"/>
        </w:trPr>
        <w:tc>
          <w:tcPr>
            <w:tcW w:w="4643" w:type="dxa"/>
            <w:vAlign w:val="center"/>
          </w:tcPr>
          <w:p>
            <w:r>
              <w:t>联系电话：{{客户联系电话}}</w:t>
            </w:r>
          </w:p>
        </w:tc>
        <w:tc>
          <w:tcPr>
            <w:tcW w:w="4644" w:type="dxa"/>
            <w:shd w:val="clear" w:color="auto" w:fill="auto"/>
            <w:vAlign w:val="center"/>
          </w:tcPr>
          <w:p>
            <w:r>
              <w:t>联系电话：{{我方联系电话}}</w:t>
            </w:r>
          </w:p>
        </w:tc>
      </w:tr>
      <w:tr w14:paraId="7F5D0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4" w:hRule="atLeast"/>
        </w:trPr>
        <w:tc>
          <w:tcPr>
            <w:tcW w:w="4643" w:type="dxa"/>
            <w:vAlign w:val="center"/>
          </w:tcPr>
          <w:p>
            <w:r>
              <w:t>邮　　编：{{客户邮编}}</w:t>
            </w:r>
          </w:p>
        </w:tc>
        <w:tc>
          <w:tcPr>
            <w:tcW w:w="4644" w:type="dxa"/>
            <w:vAlign w:val="center"/>
          </w:tcPr>
          <w:p>
            <w:r>
              <w:t>邮　　编：{{我方邮编}}</w:t>
            </w:r>
          </w:p>
        </w:tc>
      </w:tr>
      <w:tr w14:paraId="4FD33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4" w:hRule="atLeast"/>
        </w:trPr>
        <w:tc>
          <w:tcPr>
            <w:tcW w:w="4643" w:type="dxa"/>
            <w:vAlign w:val="center"/>
          </w:tcPr>
          <w:p>
            <w:r>
              <w:t>电　　话：{{客户电话}}</w:t>
            </w:r>
          </w:p>
        </w:tc>
        <w:tc>
          <w:tcPr>
            <w:tcW w:w="4644" w:type="dxa"/>
            <w:vAlign w:val="center"/>
          </w:tcPr>
          <w:p>
            <w:r>
              <w:t>电　　话：{{我方电话}}</w:t>
            </w:r>
          </w:p>
        </w:tc>
      </w:tr>
      <w:tr w14:paraId="57346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37" w:hRule="atLeast"/>
        </w:trPr>
        <w:tc>
          <w:tcPr>
            <w:tcW w:w="4643" w:type="dxa"/>
            <w:vAlign w:val="center"/>
          </w:tcPr>
          <w:p>
            <w:r>
              <w:t>开户银行：{{客户开户银行}}</w:t>
            </w:r>
          </w:p>
        </w:tc>
        <w:tc>
          <w:tcPr>
            <w:tcW w:w="4644" w:type="dxa"/>
            <w:vAlign w:val="center"/>
          </w:tcPr>
          <w:p>
            <w:r>
              <w:t>开户银行：{{我方开户银行}}</w:t>
            </w:r>
          </w:p>
        </w:tc>
      </w:tr>
      <w:tr w14:paraId="30952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8" w:hRule="atLeast"/>
        </w:trPr>
        <w:tc>
          <w:tcPr>
            <w:tcW w:w="4643" w:type="dxa"/>
            <w:vAlign w:val="center"/>
          </w:tcPr>
          <w:p>
            <w:r>
              <w:t>账    号：{{客户账号}}</w:t>
            </w:r>
          </w:p>
        </w:tc>
        <w:tc>
          <w:tcPr>
            <w:tcW w:w="4644" w:type="dxa"/>
            <w:vAlign w:val="center"/>
          </w:tcPr>
          <w:p>
            <w:r>
              <w:t>账    号：{{我方账号}}</w:t>
            </w:r>
          </w:p>
        </w:tc>
      </w:tr>
    </w:tbl>
    <w:p w14:paraId="71E286F6">
      <w:pPr>
        <w:adjustRightInd w:val="0"/>
        <w:spacing w:line="260" w:lineRule="exact"/>
        <w:rPr>
          <w:rFonts w:hint="eastAsia" w:ascii="宋体" w:hAnsi="宋体" w:cs="宋体"/>
          <w:sz w:val="24"/>
          <w:highlight w:val="none"/>
        </w:rPr>
      </w:pPr>
      <w:r/>
    </w:p>
    <w:p w14:paraId="684DDA85">
      <w:pPr>
        <w:adjustRightInd w:val="0"/>
        <w:spacing w:line="260" w:lineRule="exact"/>
        <w:rPr>
          <w:rFonts w:hint="eastAsia" w:ascii="宋体" w:hAnsi="宋体" w:cs="宋体"/>
          <w:sz w:val="24"/>
          <w:highlight w:val="none"/>
        </w:rPr>
      </w:pPr>
      <w:r/>
    </w:p>
    <w:p w14:paraId="68D5769E">
      <w:pPr>
        <w:adjustRightInd w:val="0"/>
        <w:spacing w:line="260" w:lineRule="exact"/>
        <w:rPr>
          <w:rFonts w:hint="eastAsia" w:ascii="宋体" w:hAnsi="宋体" w:cs="宋体"/>
          <w:sz w:val="24"/>
          <w:highlight w:val="none"/>
        </w:rPr>
      </w:pPr>
      <w:r/>
    </w:p>
    <w:p w14:paraId="232C9BE7">
      <w:pPr>
        <w:adjustRightInd w:val="0"/>
        <w:spacing w:line="260" w:lineRule="exact"/>
        <w:rPr>
          <w:rFonts w:hint="eastAsia" w:ascii="宋体" w:hAnsi="宋体" w:cs="宋体"/>
          <w:sz w:val="24"/>
          <w:highlight w:val="none"/>
        </w:rPr>
      </w:pPr>
      <w:r/>
    </w:p>
    <w:p w14:paraId="069E234E">
      <w:pPr>
        <w:adjustRightInd w:val="0"/>
        <w:spacing w:line="260" w:lineRule="exact"/>
        <w:rPr>
          <w:rFonts w:hint="eastAsia" w:ascii="宋体" w:hAnsi="宋体" w:cs="宋体"/>
          <w:sz w:val="24"/>
          <w:highlight w:val="none"/>
        </w:rPr>
      </w:pPr>
      <w:r/>
    </w:p>
    <w:p w14:paraId="465AAD33">
      <w:pPr>
        <w:adjustRightInd w:val="0"/>
        <w:spacing w:line="260" w:lineRule="exact"/>
        <w:rPr>
          <w:rFonts w:hint="eastAsia" w:ascii="宋体" w:hAnsi="宋体" w:cs="宋体"/>
          <w:sz w:val="24"/>
          <w:highlight w:val="none"/>
        </w:rPr>
      </w:pPr>
      <w:r/>
    </w:p>
    <w:p w14:paraId="7D4FC6B6">
      <w:pPr>
        <w:rPr>
          <w:rFonts w:hint="eastAsia" w:asciiTheme="minorEastAsia" w:hAnsiTheme="minorEastAsia" w:eastAsiaTheme="minorEastAsia" w:cstheme="minorEastAsia"/>
          <w:bCs/>
          <w:color w:val="000000"/>
          <w:sz w:val="24"/>
          <w:szCs w:val="24"/>
          <w:highlight w:val="none"/>
        </w:rPr>
      </w:pPr>
      <w:r/>
    </w:p>
    <w:p w14:paraId="418AD420">
      <w:pPr>
        <w:pStyle w:val="2"/>
        <w:keepNext w:val="0"/>
        <w:keepLines w:val="0"/>
        <w:spacing w:before="340" w:after="330" w:line="240" w:lineRule="auto"/>
        <w:jc w:val="left"/>
        <w:rPr>
          <w:rFonts w:hint="eastAsia" w:asciiTheme="minorEastAsia" w:hAnsiTheme="minorEastAsia" w:eastAsiaTheme="minorEastAsia" w:cstheme="minorEastAsia"/>
          <w:bCs/>
          <w:color w:val="000000"/>
          <w:sz w:val="24"/>
          <w:szCs w:val="24"/>
          <w:highlight w:val="none"/>
        </w:rPr>
      </w:pPr>
      <w:r>
        <w:t>附件1 保密协议</w:t>
      </w:r>
    </w:p>
    <w:p w14:paraId="05F8A7E5">
      <w:pPr>
        <w:widowControl/>
        <w:spacing w:line="312" w:lineRule="auto"/>
        <w:jc w:val="center"/>
        <w:rPr>
          <w:rFonts w:hint="eastAsia" w:asciiTheme="minorEastAsia" w:hAnsiTheme="minorEastAsia" w:eastAsiaTheme="minorEastAsia" w:cstheme="minorEastAsia"/>
          <w:b/>
          <w:bCs/>
          <w:kern w:val="0"/>
          <w:sz w:val="28"/>
          <w:szCs w:val="28"/>
          <w:highlight w:val="none"/>
        </w:rPr>
      </w:pPr>
      <w:r>
        <w:t>保密协议</w:t>
      </w:r>
    </w:p>
    <w:p w14:paraId="2F4DAE9F">
      <w:pPr>
        <w:spacing w:line="360" w:lineRule="auto"/>
        <w:ind w:firstLine="480" w:firstLineChars="200"/>
        <w:rPr>
          <w:rFonts w:hint="eastAsia" w:asciiTheme="minorEastAsia" w:hAnsiTheme="minorEastAsia" w:eastAsiaTheme="minorEastAsia" w:cstheme="minorEastAsia"/>
          <w:sz w:val="24"/>
          <w:highlight w:val="none"/>
        </w:rPr>
      </w:pPr>
      <w:r/>
    </w:p>
    <w:p w14:paraId="5230C69A">
      <w:pPr>
        <w:spacing w:line="360" w:lineRule="auto"/>
        <w:ind w:firstLine="480" w:firstLineChars="200"/>
        <w:rPr>
          <w:rFonts w:hint="default" w:asciiTheme="minorEastAsia" w:hAnsiTheme="minorEastAsia" w:eastAsiaTheme="minorEastAsia" w:cstheme="minorEastAsia"/>
          <w:sz w:val="24"/>
          <w:highlight w:val="none"/>
          <w:lang w:val="en-US" w:eastAsia="zh-CN"/>
        </w:rPr>
      </w:pPr>
      <w:r>
        <w:t xml:space="preserve">甲方：                          </w:t>
      </w:r>
    </w:p>
    <w:p w14:paraId="343FEEAB">
      <w:pPr>
        <w:spacing w:line="360" w:lineRule="auto"/>
        <w:ind w:firstLine="480" w:firstLineChars="200"/>
        <w:rPr>
          <w:rFonts w:hint="default" w:asciiTheme="minorEastAsia" w:hAnsiTheme="minorEastAsia" w:eastAsiaTheme="minorEastAsia" w:cstheme="minorEastAsia"/>
          <w:sz w:val="24"/>
          <w:highlight w:val="none"/>
          <w:lang w:val="en-US" w:eastAsia="zh-CN"/>
        </w:rPr>
      </w:pPr>
      <w:r>
        <w:t xml:space="preserve">乙方：                         </w:t>
      </w:r>
    </w:p>
    <w:p w14:paraId="13B3DF1B">
      <w:pPr>
        <w:spacing w:before="120" w:beforeLines="50" w:after="120" w:afterLines="50" w:line="360" w:lineRule="auto"/>
        <w:ind w:firstLine="480" w:firstLineChars="200"/>
        <w:rPr>
          <w:rFonts w:hint="eastAsia" w:asciiTheme="minorEastAsia" w:hAnsiTheme="minorEastAsia" w:eastAsiaTheme="minorEastAsia" w:cstheme="minorEastAsia"/>
          <w:sz w:val="24"/>
          <w:highlight w:val="none"/>
        </w:rPr>
      </w:pPr>
      <w:r/>
    </w:p>
    <w:p w14:paraId="7682BF22">
      <w:pPr>
        <w:spacing w:line="360" w:lineRule="auto"/>
        <w:rPr>
          <w:rFonts w:asciiTheme="minorEastAsia" w:hAnsiTheme="minorEastAsia" w:eastAsiaTheme="minorEastAsia" w:cstheme="minorEastAsia"/>
          <w:b/>
          <w:sz w:val="24"/>
          <w:highlight w:val="none"/>
        </w:rPr>
      </w:pPr>
      <w:r>
        <w:t>鉴于：甲乙双方就合同范围内的测评项目，现就文档资料使用和双方因测评执行过程中及测评结果所涉及的保密信息达成以下一致意见：</w:t>
      </w:r>
    </w:p>
    <w:p w14:paraId="10EB81A0">
      <w:pPr>
        <w:spacing w:line="360" w:lineRule="auto"/>
        <w:rPr>
          <w:rFonts w:asciiTheme="minorEastAsia" w:hAnsiTheme="minorEastAsia" w:eastAsiaTheme="minorEastAsia" w:cstheme="minorEastAsia"/>
          <w:sz w:val="24"/>
          <w:highlight w:val="none"/>
        </w:rPr>
      </w:pPr>
      <w:r>
        <w:t xml:space="preserve">　　</w:t>
      </w:r>
    </w:p>
    <w:p w14:paraId="35D89DC9">
      <w:pPr>
        <w:spacing w:line="360" w:lineRule="auto"/>
        <w:rPr>
          <w:rFonts w:asciiTheme="minorEastAsia" w:hAnsiTheme="minorEastAsia" w:eastAsiaTheme="minorEastAsia" w:cstheme="minorEastAsia"/>
          <w:sz w:val="24"/>
          <w:highlight w:val="none"/>
        </w:rPr>
      </w:pPr>
      <w:r>
        <w:t xml:space="preserve">　　1. 保密信息：</w:t>
      </w:r>
    </w:p>
    <w:p w14:paraId="5229E682">
      <w:pPr>
        <w:spacing w:line="360" w:lineRule="auto"/>
        <w:rPr>
          <w:rFonts w:asciiTheme="minorEastAsia" w:hAnsiTheme="minorEastAsia" w:eastAsiaTheme="minorEastAsia" w:cstheme="minorEastAsia"/>
          <w:sz w:val="24"/>
          <w:highlight w:val="none"/>
        </w:rPr>
      </w:pPr>
      <w:r>
        <w:t xml:space="preserve">　　1.1 本协议所指的保密信息是披露方在披露信息时以书面、口头及其他方式确认为保密或专有的任何信息，应包括：</w:t>
      </w:r>
    </w:p>
    <w:p w14:paraId="2C7CF5CD">
      <w:pPr>
        <w:spacing w:line="360" w:lineRule="auto"/>
        <w:rPr>
          <w:rFonts w:asciiTheme="minorEastAsia" w:hAnsiTheme="minorEastAsia" w:eastAsiaTheme="minorEastAsia" w:cstheme="minorEastAsia"/>
          <w:sz w:val="24"/>
          <w:highlight w:val="none"/>
        </w:rPr>
      </w:pPr>
      <w:r>
        <w:t xml:space="preserve">　　1）双方在本项目测评过程中所涉及到的双方业务往来中被合理认为是保密信息的数据资料和信息，包括所有的（不限于口述）记载于各种介质或载体上的数据资料和信息；甲方的保密信息包括但不限于网络拓扑结构、业务流程、商业理念、网络安全机制、网络设备、网络方案等。乙方的保密信息包括但不限于测评流程、测评问卷、文档等。</w:t>
      </w:r>
    </w:p>
    <w:p w14:paraId="50EE7484">
      <w:pPr>
        <w:spacing w:line="360" w:lineRule="auto"/>
        <w:rPr>
          <w:rFonts w:asciiTheme="minorEastAsia" w:hAnsiTheme="minorEastAsia" w:eastAsiaTheme="minorEastAsia" w:cstheme="minorEastAsia"/>
          <w:sz w:val="24"/>
          <w:highlight w:val="none"/>
        </w:rPr>
      </w:pPr>
      <w:r>
        <w:t xml:space="preserve">　　2）甲乙双方签署的协议的主要条款（包括但不限于商务合作模式、价格、结算方式）等信息；及</w:t>
      </w:r>
    </w:p>
    <w:p w14:paraId="66F8CAE3">
      <w:pPr>
        <w:spacing w:line="360" w:lineRule="auto"/>
        <w:rPr>
          <w:rFonts w:asciiTheme="minorEastAsia" w:hAnsiTheme="minorEastAsia" w:eastAsiaTheme="minorEastAsia" w:cstheme="minorEastAsia"/>
          <w:sz w:val="24"/>
          <w:highlight w:val="none"/>
        </w:rPr>
      </w:pPr>
      <w:r>
        <w:t xml:space="preserve">　　3）其它需要保密的资料和信息。</w:t>
      </w:r>
    </w:p>
    <w:p w14:paraId="718C459F">
      <w:pPr>
        <w:spacing w:line="360" w:lineRule="auto"/>
        <w:rPr>
          <w:rFonts w:asciiTheme="minorEastAsia" w:hAnsiTheme="minorEastAsia" w:eastAsiaTheme="minorEastAsia" w:cstheme="minorEastAsia"/>
          <w:sz w:val="24"/>
          <w:highlight w:val="none"/>
        </w:rPr>
      </w:pPr>
      <w:r>
        <w:t xml:space="preserve">　　1.2 保密信息不包括如下任何一种资料和信息：</w:t>
      </w:r>
    </w:p>
    <w:p w14:paraId="2D57D8D4">
      <w:pPr>
        <w:spacing w:line="360" w:lineRule="auto"/>
        <w:rPr>
          <w:rFonts w:asciiTheme="minorEastAsia" w:hAnsiTheme="minorEastAsia" w:eastAsiaTheme="minorEastAsia" w:cstheme="minorEastAsia"/>
          <w:sz w:val="24"/>
          <w:highlight w:val="none"/>
        </w:rPr>
      </w:pPr>
      <w:r>
        <w:t xml:space="preserve">　　1）在本协议签订之前，已成为公开的知识或信息； </w:t>
      </w:r>
    </w:p>
    <w:p w14:paraId="1E25FE6E">
      <w:pPr>
        <w:spacing w:line="360" w:lineRule="auto"/>
        <w:rPr>
          <w:rFonts w:asciiTheme="minorEastAsia" w:hAnsiTheme="minorEastAsia" w:eastAsiaTheme="minorEastAsia" w:cstheme="minorEastAsia"/>
          <w:sz w:val="24"/>
          <w:highlight w:val="none"/>
        </w:rPr>
      </w:pPr>
      <w:r>
        <w:t xml:space="preserve">　　2）信息接受方在取得信息提供方认为属于保密信息资料之前对此信息已经从其它合法渠道了解；</w:t>
      </w:r>
    </w:p>
    <w:p w14:paraId="329E8B64">
      <w:pPr>
        <w:spacing w:line="360" w:lineRule="auto"/>
        <w:rPr>
          <w:rFonts w:asciiTheme="minorEastAsia" w:hAnsiTheme="minorEastAsia" w:eastAsiaTheme="minorEastAsia" w:cstheme="minorEastAsia"/>
          <w:sz w:val="24"/>
          <w:highlight w:val="none"/>
        </w:rPr>
      </w:pPr>
      <w:r>
        <w:t xml:space="preserve">　　3）保密信息提供方书面同意向特定人披露或向社会公众披露的保密信息。</w:t>
      </w:r>
    </w:p>
    <w:p w14:paraId="1619A3C7">
      <w:pPr>
        <w:spacing w:line="360" w:lineRule="auto"/>
        <w:rPr>
          <w:rFonts w:asciiTheme="minorEastAsia" w:hAnsiTheme="minorEastAsia" w:eastAsiaTheme="minorEastAsia" w:cstheme="minorEastAsia"/>
          <w:sz w:val="24"/>
          <w:highlight w:val="none"/>
        </w:rPr>
      </w:pPr>
      <w:r>
        <w:t xml:space="preserve">　　2. 保密义务：</w:t>
      </w:r>
    </w:p>
    <w:p w14:paraId="70ACD232">
      <w:pPr>
        <w:spacing w:line="360" w:lineRule="auto"/>
        <w:rPr>
          <w:rFonts w:asciiTheme="minorEastAsia" w:hAnsiTheme="minorEastAsia" w:eastAsiaTheme="minorEastAsia" w:cstheme="minorEastAsia"/>
          <w:sz w:val="24"/>
          <w:highlight w:val="none"/>
        </w:rPr>
      </w:pPr>
      <w:r>
        <w:t xml:space="preserve">　　2.1 双方应当保证其董事及从事管理、技术、财务、顾问等工作的相关人员对所有保密信息保守秘密，无论该等人士是其雇用的或者聘用、授权的，并在该等人士违反保密义务时由该方向保密信息的权利方承担责任。</w:t>
      </w:r>
    </w:p>
    <w:p w14:paraId="3108BE41">
      <w:pPr>
        <w:spacing w:line="360" w:lineRule="auto"/>
        <w:rPr>
          <w:rFonts w:asciiTheme="minorEastAsia" w:hAnsiTheme="minorEastAsia" w:eastAsiaTheme="minorEastAsia" w:cstheme="minorEastAsia"/>
          <w:sz w:val="24"/>
          <w:highlight w:val="none"/>
        </w:rPr>
      </w:pPr>
      <w:r>
        <w:t xml:space="preserve">　　2.2 双方应确保所保存的对方的保密信息的安全和保密性。在保存对方的保密技术和资料期间，一旦发生保密信息的遗失、公开或损坏，无论事故是由哪一方引起，都应在1小时内立即通知对方，同时应当采取必要措施以防止或减轻损失；并且事故引起方应当在事发后5个工作日内向另一方以书面方式提交详细的报告，并提出未来措施的建议。</w:t>
      </w:r>
    </w:p>
    <w:p w14:paraId="37778148">
      <w:pPr>
        <w:spacing w:line="360" w:lineRule="auto"/>
        <w:rPr>
          <w:rFonts w:asciiTheme="minorEastAsia" w:hAnsiTheme="minorEastAsia" w:eastAsiaTheme="minorEastAsia" w:cstheme="minorEastAsia"/>
          <w:sz w:val="24"/>
          <w:highlight w:val="none"/>
        </w:rPr>
      </w:pPr>
      <w:r>
        <w:t xml:space="preserve">　　2.3 保密信息接受方只允许必要的涉及本次测评项目的人员因工作需要接触保密信息，并且确保接触到保密信息的人员遵守本保密协议的各项条款，使他们树立保密意识；并且上述人员在取得上述保密信息后只能将其用于受指派的具体工作范围内。</w:t>
      </w:r>
    </w:p>
    <w:p w14:paraId="7EA76D6F">
      <w:pPr>
        <w:spacing w:line="360" w:lineRule="auto"/>
        <w:rPr>
          <w:rFonts w:asciiTheme="minorEastAsia" w:hAnsiTheme="minorEastAsia" w:eastAsiaTheme="minorEastAsia" w:cstheme="minorEastAsia"/>
          <w:sz w:val="24"/>
          <w:highlight w:val="none"/>
        </w:rPr>
      </w:pPr>
      <w:r>
        <w:t xml:space="preserve">　　2.4 除本协议明确允许及为进行本协议所述项目下必要工作而必需的情形以外，在未得到另一方书面同意之前，任意一方不得以任何方式对保密信息进行任何形式的改动、自用或他用，也不得以任何形式将上述保密信息出售、转让或泄露给第三人。</w:t>
      </w:r>
    </w:p>
    <w:p w14:paraId="781E4A0F">
      <w:pPr>
        <w:spacing w:line="360" w:lineRule="auto"/>
        <w:rPr>
          <w:rFonts w:asciiTheme="minorEastAsia" w:hAnsiTheme="minorEastAsia" w:eastAsiaTheme="minorEastAsia" w:cstheme="minorEastAsia"/>
          <w:sz w:val="24"/>
          <w:highlight w:val="none"/>
        </w:rPr>
      </w:pPr>
      <w:r>
        <w:t xml:space="preserve">　　2.5 除非得到另一方的同意，一方改动另一方提供的保密信息时应当保留原始文档中含有的所有权归属、保密要求与保密级别等内容。</w:t>
      </w:r>
    </w:p>
    <w:p w14:paraId="3D0C22B3">
      <w:pPr>
        <w:spacing w:line="360" w:lineRule="auto"/>
        <w:rPr>
          <w:rFonts w:asciiTheme="minorEastAsia" w:hAnsiTheme="minorEastAsia" w:eastAsiaTheme="minorEastAsia" w:cstheme="minorEastAsia"/>
          <w:sz w:val="24"/>
          <w:highlight w:val="none"/>
        </w:rPr>
      </w:pPr>
      <w:r>
        <w:t xml:space="preserve">　　2.6 为进行本协议所述项目下必要工作之目的，一方确需对保密信息提供方提供的保密信息进行改动、自用或他用的，应当提前5个工作日以书面形式提出要求，保密信息提供方应当在接到书面要求后5个工作日内做出书面答复。除非对保密信息提供方构成损害，保密信息提供方不应不合理地拒绝给予同意。</w:t>
      </w:r>
    </w:p>
    <w:p w14:paraId="159C139B">
      <w:pPr>
        <w:spacing w:line="360" w:lineRule="auto"/>
        <w:rPr>
          <w:rFonts w:asciiTheme="minorEastAsia" w:hAnsiTheme="minorEastAsia" w:eastAsiaTheme="minorEastAsia" w:cstheme="minorEastAsia"/>
          <w:sz w:val="24"/>
          <w:highlight w:val="none"/>
        </w:rPr>
      </w:pPr>
      <w:r>
        <w:t xml:space="preserve">　　2.7 在协议终止或到期后，一方应在5个工作日内将另一方提供的技术资料和信息的原件和复制件归还。对确实有必要留档的，应在本协议终止或到期日前的5个工作日内以书面形式提出，另一方应当在5个工作日内做出书面答复。除非对保密信息提供方构成损害且需要留档方并无合理的特别利益，保密信息提供方不应不合理地拒绝给予同意。</w:t>
      </w:r>
    </w:p>
    <w:p w14:paraId="1FA8EE56">
      <w:pPr>
        <w:spacing w:line="360" w:lineRule="auto"/>
        <w:rPr>
          <w:rFonts w:asciiTheme="minorEastAsia" w:hAnsiTheme="minorEastAsia" w:eastAsiaTheme="minorEastAsia" w:cstheme="minorEastAsia"/>
          <w:sz w:val="24"/>
          <w:highlight w:val="none"/>
        </w:rPr>
      </w:pPr>
      <w:r>
        <w:t xml:space="preserve">　　2.8 依照中国法律、行政法规的规定或者中国法律下有权机关或一方上市的证券交易所的合理要求，保密信息接受方有权按该要求合理披露有关的保密信息；但是，在不违反中国法律、行政法规的规定或者中国法律下有权机关要求的前提下，该方应在合理时间内通知保密信息提供方，以便保密信息提供方可以为此资料做辩解或申请保护。</w:t>
      </w:r>
    </w:p>
    <w:p w14:paraId="693E1067">
      <w:pPr>
        <w:spacing w:line="360" w:lineRule="auto"/>
        <w:rPr>
          <w:rFonts w:asciiTheme="minorEastAsia" w:hAnsiTheme="minorEastAsia" w:eastAsiaTheme="minorEastAsia" w:cstheme="minorEastAsia"/>
          <w:sz w:val="24"/>
          <w:highlight w:val="none"/>
        </w:rPr>
      </w:pPr>
      <w:r>
        <w:t xml:space="preserve">　　3. 违约条款：</w:t>
      </w:r>
    </w:p>
    <w:p w14:paraId="0D0840AC">
      <w:pPr>
        <w:spacing w:line="360" w:lineRule="auto"/>
        <w:rPr>
          <w:rFonts w:asciiTheme="minorEastAsia" w:hAnsiTheme="minorEastAsia" w:eastAsiaTheme="minorEastAsia" w:cstheme="minorEastAsia"/>
          <w:sz w:val="24"/>
          <w:highlight w:val="none"/>
        </w:rPr>
      </w:pPr>
      <w:r>
        <w:t xml:space="preserve">　　3.1 任何一方违约给对方造成损失的，应当按照受损失方提供的以合理计算方法和依据核定的损失额给予赔偿，若损失无法计算的，则受损方有权按委托费用的2倍进行索赔。或给受损方声誉造成影响的，违约方负责采取消除影响相关的措施和费用。</w:t>
      </w:r>
    </w:p>
    <w:p w14:paraId="10A5C6A0">
      <w:pPr>
        <w:spacing w:line="360" w:lineRule="auto"/>
        <w:rPr>
          <w:rFonts w:asciiTheme="minorEastAsia" w:hAnsiTheme="minorEastAsia" w:eastAsiaTheme="minorEastAsia" w:cstheme="minorEastAsia"/>
          <w:sz w:val="24"/>
          <w:highlight w:val="none"/>
        </w:rPr>
      </w:pPr>
      <w:r>
        <w:t xml:space="preserve">　　3.2 任何一方将保密信息提供给另一方后，由于提供方的过错使得保密信息变成公开信息，接受方不承担任何责任。</w:t>
      </w:r>
    </w:p>
    <w:p w14:paraId="1B44148C">
      <w:pPr>
        <w:spacing w:line="360" w:lineRule="auto"/>
        <w:rPr>
          <w:rFonts w:asciiTheme="minorEastAsia" w:hAnsiTheme="minorEastAsia" w:eastAsiaTheme="minorEastAsia" w:cstheme="minorEastAsia"/>
          <w:sz w:val="24"/>
          <w:highlight w:val="none"/>
        </w:rPr>
      </w:pPr>
      <w:r>
        <w:t xml:space="preserve">　　4. 一般条款：</w:t>
      </w:r>
    </w:p>
    <w:p w14:paraId="1DD4FFAD">
      <w:pPr>
        <w:spacing w:line="360" w:lineRule="auto"/>
        <w:rPr>
          <w:rFonts w:asciiTheme="minorEastAsia" w:hAnsiTheme="minorEastAsia" w:eastAsiaTheme="minorEastAsia" w:cstheme="minorEastAsia"/>
          <w:sz w:val="24"/>
          <w:highlight w:val="none"/>
        </w:rPr>
      </w:pPr>
      <w:r>
        <w:t xml:space="preserve">　　4.1 协议任何一项条款的无效不影响本协议其他条款的有效性。</w:t>
      </w:r>
    </w:p>
    <w:p w14:paraId="0F6147E6">
      <w:pPr>
        <w:spacing w:line="360" w:lineRule="auto"/>
        <w:rPr>
          <w:rFonts w:asciiTheme="minorEastAsia" w:hAnsiTheme="minorEastAsia" w:eastAsiaTheme="minorEastAsia" w:cstheme="minorEastAsia"/>
          <w:sz w:val="24"/>
          <w:highlight w:val="none"/>
        </w:rPr>
      </w:pPr>
      <w:r>
        <w:t xml:space="preserve">　　4.2 本协议长期有效。</w:t>
      </w:r>
    </w:p>
    <w:p w14:paraId="220FF0F0">
      <w:pPr>
        <w:spacing w:line="360" w:lineRule="auto"/>
        <w:rPr>
          <w:rFonts w:asciiTheme="minorEastAsia" w:hAnsiTheme="minorEastAsia" w:eastAsiaTheme="minorEastAsia" w:cstheme="minorEastAsia"/>
          <w:sz w:val="24"/>
          <w:highlight w:val="none"/>
        </w:rPr>
      </w:pPr>
      <w:r>
        <w:t xml:space="preserve">　　4.3 下列形式的内容应当成为本协议的组成部分，与本协议具有同等的法律效力：</w:t>
      </w:r>
    </w:p>
    <w:p w14:paraId="589AEB5F">
      <w:pPr>
        <w:spacing w:line="360" w:lineRule="auto"/>
        <w:rPr>
          <w:rFonts w:asciiTheme="minorEastAsia" w:hAnsiTheme="minorEastAsia" w:eastAsiaTheme="minorEastAsia" w:cstheme="minorEastAsia"/>
          <w:sz w:val="24"/>
          <w:highlight w:val="none"/>
        </w:rPr>
      </w:pPr>
      <w:r>
        <w:t xml:space="preserve">　　4.3.1 任何对于本协议的修改或修正经双方书面同意，并由双方授权人员签字；或</w:t>
      </w:r>
    </w:p>
    <w:p w14:paraId="4A448097">
      <w:pPr>
        <w:spacing w:line="360" w:lineRule="auto"/>
        <w:rPr>
          <w:rFonts w:asciiTheme="minorEastAsia" w:hAnsiTheme="minorEastAsia" w:eastAsiaTheme="minorEastAsia" w:cstheme="minorEastAsia"/>
          <w:sz w:val="24"/>
          <w:highlight w:val="none"/>
        </w:rPr>
      </w:pPr>
      <w:r>
        <w:t xml:space="preserve">　　4.3.2 根据具体情况双方签订补充协议；或</w:t>
      </w:r>
    </w:p>
    <w:p w14:paraId="4105FBF8">
      <w:pPr>
        <w:spacing w:line="360" w:lineRule="auto"/>
        <w:rPr>
          <w:rFonts w:asciiTheme="minorEastAsia" w:hAnsiTheme="minorEastAsia" w:eastAsiaTheme="minorEastAsia" w:cstheme="minorEastAsia"/>
          <w:sz w:val="24"/>
          <w:highlight w:val="none"/>
        </w:rPr>
      </w:pPr>
      <w:r>
        <w:t xml:space="preserve">　　4.3.3 经过双方确认的由双方授权人员在其职权范围内签发的往来信件、电子邮件、传真件。</w:t>
      </w:r>
    </w:p>
    <w:p w14:paraId="1DA02E24">
      <w:pPr>
        <w:spacing w:line="360" w:lineRule="auto"/>
        <w:rPr>
          <w:rFonts w:asciiTheme="minorEastAsia" w:hAnsiTheme="minorEastAsia" w:eastAsiaTheme="minorEastAsia" w:cstheme="minorEastAsia"/>
          <w:sz w:val="24"/>
          <w:highlight w:val="none"/>
        </w:rPr>
      </w:pPr>
      <w:r>
        <w:t xml:space="preserve">　　4.4本协议适用中华人民共和国的法律和行政法规。有关本协议的一切争议，应首先通过友好协商解决；协商不成，应当交由甲方所在地的人民法院诉讼管辖。</w:t>
      </w:r>
    </w:p>
    <w:p w14:paraId="2516D4C6">
      <w:pPr>
        <w:spacing w:line="360" w:lineRule="auto"/>
        <w:rPr>
          <w:rFonts w:asciiTheme="minorEastAsia" w:hAnsiTheme="minorEastAsia" w:eastAsiaTheme="minorEastAsia" w:cstheme="minorEastAsia"/>
          <w:sz w:val="24"/>
          <w:highlight w:val="none"/>
        </w:rPr>
      </w:pPr>
      <w:r>
        <w:t xml:space="preserve">　　4.5乙方确认甲方的信息技术部有权代表甲方签署本协议。本协议由双方于签署栏列明的签约日期订立，经双方授权代表签字/盖章并加盖甲方（或甲方的信息技术部）公章及乙方公章后生效。本协议一式两份，双方各持一份。</w:t>
      </w:r>
    </w:p>
    <w:p w14:paraId="77ED8485">
      <w:pPr>
        <w:spacing w:line="360" w:lineRule="auto"/>
        <w:rPr>
          <w:rFonts w:asciiTheme="minorEastAsia" w:hAnsiTheme="minorEastAsia" w:eastAsiaTheme="minorEastAsia" w:cstheme="minorEastAsia"/>
          <w:sz w:val="24"/>
          <w:highlight w:val="none"/>
        </w:rPr>
      </w:pPr>
      <w:r>
        <w:t xml:space="preserve">　　</w:t>
      </w:r>
    </w:p>
    <w:p w14:paraId="6E01E54A">
      <w:pPr>
        <w:spacing w:line="360" w:lineRule="auto"/>
        <w:rPr>
          <w:rFonts w:asciiTheme="minorEastAsia" w:hAnsiTheme="minorEastAsia" w:eastAsiaTheme="minorEastAsia" w:cstheme="minorEastAsia"/>
          <w:sz w:val="24"/>
          <w:highlight w:val="none"/>
        </w:rPr>
      </w:pPr>
      <w:r>
        <w:t xml:space="preserve">　　本协议签约日期为{{签订日期}}。</w:t>
      </w:r>
    </w:p>
    <w:p w14:paraId="59C63534">
      <w:pPr>
        <w:spacing w:line="360" w:lineRule="auto"/>
        <w:rPr>
          <w:rFonts w:asciiTheme="minorEastAsia" w:hAnsiTheme="minorEastAsia" w:eastAsiaTheme="minorEastAsia" w:cstheme="minorEastAsia"/>
          <w:sz w:val="24"/>
          <w:highlight w:val="none"/>
        </w:rPr>
      </w:pPr>
      <w:r>
        <w:t xml:space="preserve">　　</w:t>
      </w:r>
    </w:p>
    <w:p w14:paraId="23F3E655">
      <w:pPr>
        <w:spacing w:line="360" w:lineRule="auto"/>
        <w:rPr>
          <w:rFonts w:asciiTheme="minorEastAsia" w:hAnsiTheme="minorEastAsia" w:eastAsiaTheme="minorEastAsia" w:cstheme="minorEastAsia"/>
          <w:sz w:val="24"/>
          <w:highlight w:val="none"/>
        </w:rPr>
      </w:pPr>
      <w:r>
        <w:t xml:space="preserve">　　</w:t>
      </w:r>
    </w:p>
    <w:tbl>
      <w:tblPr>
        <w:tblStyle w:val="8"/>
        <w:tblW w:w="5100" w:type="pct"/>
        <w:tblInd w:w="0" w:type="dxa"/>
        <w:tblLayout w:type="autofit"/>
        <w:tblCellMar>
          <w:top w:w="0" w:type="dxa"/>
          <w:left w:w="108" w:type="dxa"/>
          <w:bottom w:w="0" w:type="dxa"/>
          <w:right w:w="108" w:type="dxa"/>
        </w:tblCellMar>
      </w:tblPr>
      <w:tblGrid>
        <w:gridCol w:w="4641"/>
        <w:gridCol w:w="4832"/>
      </w:tblGrid>
      <w:tr w14:paraId="39D9E1DF">
        <w:tblPrEx>
          <w:tblCellMar>
            <w:top w:w="0" w:type="dxa"/>
            <w:left w:w="108" w:type="dxa"/>
            <w:bottom w:w="0" w:type="dxa"/>
            <w:right w:w="108" w:type="dxa"/>
          </w:tblCellMar>
        </w:tblPrEx>
        <w:tc>
          <w:tcPr>
            <w:tcW w:w="2449" w:type="pct"/>
          </w:tcPr>
          <w:p>
            <w:r>
              <w:br/>
              <w:t>甲方：{{客户名称}}</w:t>
            </w:r>
          </w:p>
        </w:tc>
        <w:tc>
          <w:tcPr>
            <w:tcW w:w="2550" w:type="pct"/>
          </w:tcPr>
          <w:p>
            <w:r>
              <w:br/>
              <w:t>乙方：{{我方名称}}</w:t>
            </w:r>
          </w:p>
        </w:tc>
      </w:tr>
      <w:tr w14:paraId="5915F3C2">
        <w:tblPrEx>
          <w:tblCellMar>
            <w:top w:w="0" w:type="dxa"/>
            <w:left w:w="108" w:type="dxa"/>
            <w:bottom w:w="0" w:type="dxa"/>
            <w:right w:w="108" w:type="dxa"/>
          </w:tblCellMar>
        </w:tblPrEx>
        <w:tc>
          <w:tcPr>
            <w:tcW w:w="2449" w:type="pct"/>
          </w:tcPr>
          <w:p w14:paraId="76BB0931">
            <w:pPr>
              <w:tabs>
                <w:tab w:val="left" w:pos="0"/>
              </w:tabs>
              <w:spacing w:line="360" w:lineRule="auto"/>
              <w:ind w:right="840" w:firstLine="480" w:firstLineChars="200"/>
              <w:rPr>
                <w:rFonts w:asciiTheme="minorEastAsia" w:hAnsiTheme="minorEastAsia" w:eastAsiaTheme="minorEastAsia" w:cstheme="minorEastAsia"/>
                <w:sz w:val="24"/>
                <w:highlight w:val="none"/>
              </w:rPr>
            </w:pPr>
          </w:p>
          <w:p w14:paraId="005C8D33">
            <w:pPr>
              <w:tabs>
                <w:tab w:val="left" w:pos="0"/>
              </w:tabs>
              <w:spacing w:line="360" w:lineRule="auto"/>
              <w:ind w:right="840" w:firstLine="480" w:firstLineChars="20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 xml:space="preserve">签字：        </w:t>
            </w:r>
          </w:p>
          <w:p w14:paraId="79A17C52">
            <w:pPr>
              <w:spacing w:line="360" w:lineRule="auto"/>
              <w:ind w:firstLine="480" w:firstLineChars="20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 xml:space="preserve">日期：  </w:t>
            </w:r>
          </w:p>
        </w:tc>
        <w:tc>
          <w:tcPr>
            <w:tcW w:w="2550" w:type="pct"/>
          </w:tcPr>
          <w:p w14:paraId="432B48BB">
            <w:pPr>
              <w:spacing w:line="360" w:lineRule="auto"/>
              <w:ind w:firstLine="480" w:firstLineChars="200"/>
              <w:rPr>
                <w:rFonts w:asciiTheme="minorEastAsia" w:hAnsiTheme="minorEastAsia" w:eastAsiaTheme="minorEastAsia" w:cstheme="minorEastAsia"/>
                <w:sz w:val="24"/>
                <w:highlight w:val="none"/>
              </w:rPr>
            </w:pPr>
          </w:p>
          <w:p w14:paraId="6E920838">
            <w:pPr>
              <w:spacing w:line="360" w:lineRule="auto"/>
              <w:ind w:firstLine="480" w:firstLineChars="20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 xml:space="preserve">签字：        </w:t>
            </w:r>
          </w:p>
          <w:p w14:paraId="735247D3">
            <w:pPr>
              <w:spacing w:line="360" w:lineRule="auto"/>
              <w:ind w:firstLine="480" w:firstLineChars="20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 xml:space="preserve">日期：        </w:t>
            </w:r>
          </w:p>
          <w:p w14:paraId="369A50AE">
            <w:pPr>
              <w:spacing w:line="360" w:lineRule="auto"/>
              <w:ind w:firstLine="480" w:firstLineChars="20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　　</w:t>
            </w:r>
          </w:p>
        </w:tc>
      </w:tr>
    </w:tbl>
    <w:p w14:paraId="3A353D6E">
      <w:pPr>
        <w:spacing w:before="120" w:beforeLines="50" w:after="120" w:afterLines="50" w:line="360" w:lineRule="auto"/>
        <w:ind w:firstLine="480" w:firstLineChars="200"/>
        <w:rPr>
          <w:rFonts w:hint="eastAsia" w:asciiTheme="minorEastAsia" w:hAnsiTheme="minorEastAsia" w:eastAsiaTheme="minorEastAsia" w:cstheme="minorEastAsia"/>
          <w:sz w:val="24"/>
          <w:highlight w:val="none"/>
        </w:rPr>
      </w:pPr>
      <w:r/>
    </w:p>
    <w:p w14:paraId="61290251">
      <w:pPr>
        <w:pStyle w:val="2"/>
        <w:keepNext w:val="0"/>
        <w:keepLines w:val="0"/>
        <w:spacing w:before="340" w:after="330" w:line="240" w:lineRule="auto"/>
        <w:jc w:val="left"/>
        <w:rPr>
          <w:rFonts w:hint="eastAsia" w:asciiTheme="minorEastAsia" w:hAnsiTheme="minorEastAsia" w:eastAsiaTheme="minorEastAsia" w:cstheme="minorEastAsia"/>
          <w:bCs/>
          <w:color w:val="000000"/>
          <w:sz w:val="24"/>
          <w:szCs w:val="24"/>
          <w:highlight w:val="none"/>
        </w:rPr>
        <w:sectPr>
          <w:headerReference r:id="rId3" w:type="default"/>
          <w:footerReference r:id="rId4" w:type="default"/>
          <w:pgSz w:w="11907" w:h="16840"/>
          <w:pgMar w:top="1418" w:right="1418" w:bottom="1418" w:left="1418" w:header="851" w:footer="851" w:gutter="0"/>
          <w:cols w:space="720" w:num="1"/>
          <w:docGrid w:linePitch="462" w:charSpace="0"/>
        </w:sectPr>
      </w:pPr>
      <w:r/>
    </w:p>
    <w:p w14:paraId="7D4AC546">
      <w:pPr>
        <w:pStyle w:val="2"/>
        <w:keepNext w:val="0"/>
        <w:keepLines w:val="0"/>
        <w:spacing w:before="340" w:after="330" w:line="240" w:lineRule="auto"/>
        <w:jc w:val="left"/>
        <w:rPr>
          <w:rFonts w:hint="eastAsia" w:asciiTheme="minorEastAsia" w:hAnsiTheme="minorEastAsia" w:eastAsiaTheme="minorEastAsia" w:cstheme="minorEastAsia"/>
          <w:bCs/>
          <w:color w:val="000000"/>
          <w:sz w:val="24"/>
          <w:szCs w:val="24"/>
          <w:highlight w:val="none"/>
        </w:rPr>
      </w:pPr>
      <w:r>
        <w:t>附件2 廉政协议书</w:t>
      </w:r>
    </w:p>
    <w:p w14:paraId="387F0531">
      <w:pPr>
        <w:rPr>
          <w:rFonts w:hint="eastAsia" w:asciiTheme="minorEastAsia" w:hAnsiTheme="minorEastAsia" w:eastAsiaTheme="minorEastAsia" w:cstheme="minorEastAsia"/>
          <w:sz w:val="28"/>
          <w:szCs w:val="28"/>
          <w:highlight w:val="none"/>
        </w:rPr>
      </w:pPr>
      <w:r/>
    </w:p>
    <w:p w14:paraId="7BF6FEE4">
      <w:pPr>
        <w:widowControl/>
        <w:spacing w:line="312" w:lineRule="auto"/>
        <w:jc w:val="center"/>
        <w:rPr>
          <w:rFonts w:hint="eastAsia" w:asciiTheme="minorEastAsia" w:hAnsiTheme="minorEastAsia" w:eastAsiaTheme="minorEastAsia" w:cstheme="minorEastAsia"/>
          <w:b/>
          <w:bCs/>
          <w:kern w:val="0"/>
          <w:sz w:val="28"/>
          <w:szCs w:val="28"/>
          <w:highlight w:val="none"/>
        </w:rPr>
      </w:pPr>
      <w:r>
        <w:t>廉政协议书</w:t>
      </w:r>
    </w:p>
    <w:p w14:paraId="4D9D65B7">
      <w:pPr>
        <w:tabs>
          <w:tab w:val="left" w:pos="600"/>
          <w:tab w:val="left" w:pos="1440"/>
        </w:tabs>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p>
    <w:p w14:paraId="2A54051C">
      <w:pPr>
        <w:tabs>
          <w:tab w:val="left" w:pos="600"/>
          <w:tab w:val="left" w:pos="1440"/>
        </w:tabs>
        <w:wordWrap w:val="0"/>
        <w:topLinePunct/>
        <w:adjustRightInd w:val="0"/>
        <w:snapToGrid w:val="0"/>
        <w:spacing w:line="360" w:lineRule="auto"/>
        <w:ind w:firstLine="480" w:firstLineChars="200"/>
        <w:rPr>
          <w:rFonts w:hint="default" w:asciiTheme="minorEastAsia" w:hAnsiTheme="minorEastAsia" w:eastAsiaTheme="minorEastAsia" w:cstheme="minorEastAsia"/>
          <w:sz w:val="24"/>
          <w:highlight w:val="none"/>
          <w:lang w:val="en-US" w:eastAsia="zh-CN"/>
        </w:rPr>
      </w:pPr>
      <w:r>
        <w:t xml:space="preserve">甲方：                    </w:t>
      </w:r>
    </w:p>
    <w:p w14:paraId="7454BEA9">
      <w:pPr>
        <w:tabs>
          <w:tab w:val="left" w:pos="600"/>
          <w:tab w:val="left" w:pos="1440"/>
        </w:tabs>
        <w:wordWrap w:val="0"/>
        <w:topLinePunct/>
        <w:adjustRightInd w:val="0"/>
        <w:snapToGrid w:val="0"/>
        <w:spacing w:line="360" w:lineRule="auto"/>
        <w:ind w:firstLine="480" w:firstLineChars="200"/>
        <w:rPr>
          <w:rFonts w:hint="default" w:asciiTheme="minorEastAsia" w:hAnsiTheme="minorEastAsia" w:eastAsiaTheme="minorEastAsia" w:cstheme="minorEastAsia"/>
          <w:sz w:val="24"/>
          <w:highlight w:val="none"/>
          <w:lang w:val="en-US" w:eastAsia="zh-CN"/>
        </w:rPr>
      </w:pPr>
      <w:r>
        <w:t xml:space="preserve">乙方：                    </w:t>
      </w:r>
    </w:p>
    <w:p w14:paraId="72236223">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p>
    <w:p w14:paraId="5278C596">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为防止腐败及其他不正当行为的发生，提高各级人员的反腐倡廉意识和廉洁自律的自觉性，保护双方合法权益，经协商一致，根据国家有关法律法规及党风廉政建设的相关规定，特签订本协议：</w:t>
      </w:r>
    </w:p>
    <w:p w14:paraId="7E40E27B">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一、甲方、乙方各方必须共同遵守国家的各项法律、法规和廉洁自律的相关规定，合法经营。</w:t>
      </w:r>
    </w:p>
    <w:p w14:paraId="1A3D8478">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二、甲方、乙方各方均须遵守各类经济合同和法律，严格遵守和履行合同条款，不准在合同条款之外搞各种形式的口头协议或许诺。</w:t>
      </w:r>
    </w:p>
    <w:p w14:paraId="450FA5C4">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三、甲方的职责</w:t>
      </w:r>
    </w:p>
    <w:p w14:paraId="0457368F">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1.签订协议时，应向乙方宣传廉政规定。</w:t>
      </w:r>
    </w:p>
    <w:p w14:paraId="20D4C413">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2.甲方人员不准以任何借口和理由，接受乙方赠送的钱物或借故向乙方索要好处，一经发现将给予相应的行政处罚，情节严重者交司法机关处理。</w:t>
      </w:r>
    </w:p>
    <w:p w14:paraId="1D72C241">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四、乙方的职责</w:t>
      </w:r>
    </w:p>
    <w:p w14:paraId="5692F7AD">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1.乙方不准借甲方各级领导干部和业务人员在婚丧嫁娶、病养、乔迁、子女升学、节日慰问之机，赠送钱物、有价证券和贵重物品。</w:t>
      </w:r>
    </w:p>
    <w:p w14:paraId="5F348D4D">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2.乙方不准借款给甲方各级领导和管理人员。</w:t>
      </w:r>
    </w:p>
    <w:p w14:paraId="7E1D9A8F">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3.乙方不准为甲方各级管理人员购买、租、借手机、各种车辆、空调、电脑等物品；不准其报销任何由本人承担的费用。</w:t>
      </w:r>
    </w:p>
    <w:p w14:paraId="50BF6D1D">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4.除正当、合理的联谊活动，并经主管领导批准外，乙方不准借任何名义宴请甲方人员、组织甲方人员外出游山玩水和参与高档娱乐活动；严禁组织任何形式的赌博活动。</w:t>
      </w:r>
    </w:p>
    <w:p w14:paraId="5AC9D377">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五、其他条款</w:t>
      </w:r>
    </w:p>
    <w:p w14:paraId="0BC26595">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1.乙方如有违反协议规定的，甲方有权视情节轻重给予乙方警告并处以罚款，情节特别严重的，将终止合同并移交司法机关处理。甲方人员如有违反本协议规定的，乙方有权利和义务向其单位纪检部门或上级纪检监察部门反映。</w:t>
      </w:r>
    </w:p>
    <w:p w14:paraId="3BBFC771">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2.本协议书由双方签字盖章即日起生效，协议订立期与合同正本相同，与合同履行终结时间一致。</w:t>
      </w:r>
    </w:p>
    <w:p w14:paraId="47530A60">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p>
    <w:p w14:paraId="57C1D3EC">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p>
    <w:p w14:paraId="41EBF6C7">
      <w:pPr>
        <w:wordWrap w:val="0"/>
        <w:topLinePunct/>
        <w:adjustRightInd w:val="0"/>
        <w:snapToGrid w:val="0"/>
        <w:spacing w:line="480" w:lineRule="auto"/>
        <w:ind w:firstLine="480" w:firstLineChars="200"/>
        <w:rPr>
          <w:rFonts w:hint="default" w:asciiTheme="minorEastAsia" w:hAnsiTheme="minorEastAsia" w:eastAsiaTheme="minorEastAsia" w:cstheme="minorEastAsia"/>
          <w:sz w:val="24"/>
          <w:highlight w:val="none"/>
          <w:lang w:val="en-US" w:eastAsia="zh-CN"/>
        </w:rPr>
      </w:pPr>
      <w:r>
        <w:t xml:space="preserve">甲方：                              乙方：                      </w:t>
      </w:r>
    </w:p>
    <w:p w14:paraId="1466F54E">
      <w:pPr>
        <w:wordWrap w:val="0"/>
        <w:topLinePunct/>
        <w:adjustRightInd w:val="0"/>
        <w:snapToGrid w:val="0"/>
        <w:spacing w:line="480" w:lineRule="auto"/>
        <w:ind w:firstLine="1200" w:firstLineChars="500"/>
        <w:rPr>
          <w:rFonts w:hint="eastAsia" w:asciiTheme="minorEastAsia" w:hAnsiTheme="minorEastAsia" w:eastAsiaTheme="minorEastAsia" w:cstheme="minorEastAsia"/>
          <w:sz w:val="24"/>
          <w:highlight w:val="none"/>
        </w:rPr>
      </w:pPr>
      <w:r>
        <w:t>（盖单位章）                           （盖单位章）</w:t>
      </w:r>
    </w:p>
    <w:p w14:paraId="4CDD6FFA">
      <w:pPr>
        <w:wordWrap w:val="0"/>
        <w:topLinePunct/>
        <w:adjustRightInd w:val="0"/>
        <w:snapToGrid w:val="0"/>
        <w:spacing w:line="480" w:lineRule="auto"/>
        <w:ind w:firstLine="480" w:firstLineChars="200"/>
        <w:rPr>
          <w:rFonts w:hint="eastAsia" w:asciiTheme="minorEastAsia" w:hAnsiTheme="minorEastAsia" w:eastAsiaTheme="minorEastAsia" w:cstheme="minorEastAsia"/>
          <w:sz w:val="24"/>
          <w:highlight w:val="none"/>
        </w:rPr>
      </w:pPr>
      <w:r>
        <w:t>法定代表人或授权委托人：              法定代表人或授权委托人：</w:t>
      </w:r>
    </w:p>
    <w:p w14:paraId="0F782073">
      <w:pPr>
        <w:wordWrap w:val="0"/>
        <w:topLinePunct/>
        <w:adjustRightInd w:val="0"/>
        <w:snapToGrid w:val="0"/>
        <w:spacing w:line="480" w:lineRule="auto"/>
        <w:ind w:firstLine="480" w:firstLineChars="200"/>
        <w:rPr>
          <w:highlight w:val="none"/>
        </w:rPr>
      </w:pPr>
      <w:r>
        <w:t xml:space="preserve">（签名）                              （签名）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CC"/>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5FC89">
    <w:pPr>
      <w:pStyle w:val="6"/>
      <w:jc w:val="center"/>
      <w:rPr>
        <w:rFonts w:hint="eastAsia" w:hAnsi="宋体"/>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F6B26B">
                          <w:pPr>
                            <w:pStyle w:val="6"/>
                            <w:jc w:val="center"/>
                          </w:pPr>
                          <w:r>
                            <w:rPr>
                              <w:rFonts w:hAnsi="宋体"/>
                            </w:rPr>
                            <w:fldChar w:fldCharType="begin"/>
                          </w:r>
                          <w:r>
                            <w:rPr>
                              <w:rFonts w:hAnsi="宋体"/>
                            </w:rPr>
                            <w:instrText xml:space="preserve">PAGE   \* MERGEFORMAT</w:instrText>
                          </w:r>
                          <w:r>
                            <w:rPr>
                              <w:rFonts w:hAnsi="宋体"/>
                            </w:rPr>
                            <w:fldChar w:fldCharType="separate"/>
                          </w:r>
                          <w:r>
                            <w:rPr>
                              <w:rFonts w:hAnsi="宋体"/>
                              <w:lang w:val="zh-CN"/>
                            </w:rPr>
                            <w:t>66</w:t>
                          </w:r>
                          <w:r>
                            <w:rPr>
                              <w:rFonts w:hAnsi="宋体"/>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2F6B26B">
                    <w:pPr>
                      <w:pStyle w:val="6"/>
                      <w:jc w:val="center"/>
                    </w:pPr>
                    <w:r>
                      <w:rPr>
                        <w:rFonts w:hAnsi="宋体"/>
                      </w:rPr>
                      <w:fldChar w:fldCharType="begin"/>
                    </w:r>
                    <w:r>
                      <w:rPr>
                        <w:rFonts w:hAnsi="宋体"/>
                      </w:rPr>
                      <w:instrText xml:space="preserve">PAGE   \* MERGEFORMAT</w:instrText>
                    </w:r>
                    <w:r>
                      <w:rPr>
                        <w:rFonts w:hAnsi="宋体"/>
                      </w:rPr>
                      <w:fldChar w:fldCharType="separate"/>
                    </w:r>
                    <w:r>
                      <w:rPr>
                        <w:rFonts w:hAnsi="宋体"/>
                        <w:lang w:val="zh-CN"/>
                      </w:rPr>
                      <w:t>66</w:t>
                    </w:r>
                    <w:r>
                      <w:rPr>
                        <w:rFonts w:hAnsi="宋体"/>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79DEE">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8316BC"/>
    <w:rsid w:val="01343991"/>
    <w:rsid w:val="01E367FD"/>
    <w:rsid w:val="071A149F"/>
    <w:rsid w:val="11AB6E2B"/>
    <w:rsid w:val="15510782"/>
    <w:rsid w:val="222167D9"/>
    <w:rsid w:val="22413A42"/>
    <w:rsid w:val="2C024EC6"/>
    <w:rsid w:val="306343D6"/>
    <w:rsid w:val="37054AD1"/>
    <w:rsid w:val="424D7A4A"/>
    <w:rsid w:val="42F83EEA"/>
    <w:rsid w:val="46F72688"/>
    <w:rsid w:val="4B146468"/>
    <w:rsid w:val="4F345A3A"/>
    <w:rsid w:val="54493DF7"/>
    <w:rsid w:val="5523721F"/>
    <w:rsid w:val="5E356AA1"/>
    <w:rsid w:val="5F8A526E"/>
    <w:rsid w:val="6BF76FF8"/>
    <w:rsid w:val="758316BC"/>
    <w:rsid w:val="77A87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autoSpaceDE w:val="0"/>
      <w:autoSpaceDN w:val="0"/>
      <w:adjustRightInd w:val="0"/>
      <w:spacing w:before="240" w:after="120" w:line="300" w:lineRule="auto"/>
      <w:jc w:val="center"/>
      <w:outlineLvl w:val="0"/>
    </w:pPr>
    <w:rPr>
      <w:rFonts w:ascii="宋体"/>
      <w:b/>
      <w:kern w:val="44"/>
      <w:sz w:val="32"/>
      <w:szCs w:val="20"/>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autoSpaceDE w:val="0"/>
      <w:autoSpaceDN w:val="0"/>
      <w:adjustRightInd w:val="0"/>
      <w:ind w:firstLine="420"/>
      <w:jc w:val="left"/>
    </w:pPr>
    <w:rPr>
      <w:rFonts w:ascii="宋体"/>
      <w:sz w:val="24"/>
    </w:rPr>
  </w:style>
  <w:style w:type="paragraph" w:styleId="4">
    <w:name w:val="annotation text"/>
    <w:basedOn w:val="1"/>
    <w:qFormat/>
    <w:uiPriority w:val="0"/>
    <w:pPr>
      <w:jc w:val="left"/>
    </w:pPr>
  </w:style>
  <w:style w:type="paragraph" w:styleId="5">
    <w:name w:val="Plain Text"/>
    <w:basedOn w:val="1"/>
    <w:qFormat/>
    <w:uiPriority w:val="0"/>
    <w:rPr>
      <w:rFonts w:ascii="宋体" w:hAnsi="Courier New" w:cs="Courier New"/>
      <w:szCs w:val="21"/>
    </w:rPr>
  </w:style>
  <w:style w:type="paragraph" w:styleId="6">
    <w:name w:val="footer"/>
    <w:basedOn w:val="1"/>
    <w:qFormat/>
    <w:uiPriority w:val="0"/>
    <w:pPr>
      <w:tabs>
        <w:tab w:val="center" w:pos="4153"/>
        <w:tab w:val="right" w:pos="8306"/>
      </w:tabs>
      <w:autoSpaceDE w:val="0"/>
      <w:autoSpaceDN w:val="0"/>
      <w:adjustRightInd w:val="0"/>
      <w:snapToGrid w:val="0"/>
      <w:jc w:val="left"/>
    </w:pPr>
    <w:rPr>
      <w:rFonts w:ascii="宋体"/>
      <w:kern w:val="0"/>
      <w:sz w:val="18"/>
      <w:szCs w:val="20"/>
    </w:rPr>
  </w:style>
  <w:style w:type="paragraph" w:styleId="7">
    <w:name w:val="header"/>
    <w:basedOn w:val="1"/>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样式4"/>
    <w:basedOn w:val="5"/>
    <w:qFormat/>
    <w:uiPriority w:val="0"/>
    <w:pPr>
      <w:adjustRightInd w:val="0"/>
      <w:snapToGrid w:val="0"/>
      <w:jc w:val="center"/>
    </w:pPr>
    <w:rPr>
      <w:rFonts w:ascii="黑体" w:hAnsi="宋体" w:eastAsia="黑体" w:cs="宋体"/>
      <w:kern w:val="0"/>
      <w:sz w:val="72"/>
      <w:szCs w:val="7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6241</Words>
  <Characters>6413</Characters>
  <Lines>0</Lines>
  <Paragraphs>0</Paragraphs>
  <TotalTime>7</TotalTime>
  <ScaleCrop>false</ScaleCrop>
  <LinksUpToDate>false</LinksUpToDate>
  <CharactersWithSpaces>7018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2025-12-02T11:59:00Z</dcterms:created>
  <dc:creator>jsw</dc:creator>
  <cp:lastModifiedBy>Dave.To</cp:lastModifiedBy>
  <dcterms:modified xsi:type="dcterms:W3CDTF">2026-09-20T03:49:35Z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FCD1A9E6DB094E829050A5E1DFFBCD87_13</vt:lpwstr>
  </property>
  <property fmtid="{D5CDD505-2E9C-101B-9397-08002B2CF9AE}" pid="4" name="KSOTemplateDocerSaveRecord">
    <vt:lpwstr>eyJoZGlkIjoiMzEwNTM5NzYwMDRjMzkwZTVkZjY2ODkwMGIxNGU0OTUiLCJ1c2VySWQiOiIyOTc3MTg3NzYifQ==</vt:lpwstr>
  </property>
</Properties>
</file>