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M14 (Charge Noise) — analysis.plot_slices() ~900-Second Bottleneck</w:t>
      </w:r>
    </w:p>
    <w:p>
      <w:r>
        <w:rPr>
          <w:sz w:val="20"/>
        </w:rPr>
        <w:t>Date: 2026-10-07   |   QTCAD version: 2.2.6   |   Module: M14, background_charges.py</w:t>
      </w:r>
    </w:p>
    <w:p/>
    <w:p>
      <w:pPr>
        <w:pStyle w:val="Heading1"/>
      </w:pPr>
      <w:r>
        <w:t>1. Summary</w:t>
      </w:r>
    </w:p>
    <w:p>
      <w:r>
        <w:rPr>
          <w:b w:val="0"/>
          <w:sz w:val="21"/>
        </w:rPr>
        <w:t>A single visualization call, analysis.plot_slices(), took approximately 900 seconds (15 minutes) to complete on this device's mesh, while every other step of the same script (mesh loading, two full nonlinear Poisson solves, linecut extraction) completed in a few seconds each. The call was not providing proportional value for its cost, so it was replaced with a direct matplotlib reconstruction of the same physical information, reducing the step from ~900 s to ~24 s (approximately 37x faster).</w:t>
      </w:r>
    </w:p>
    <w:p>
      <w:pPr>
        <w:pStyle w:val="Heading1"/>
      </w:pPr>
      <w:r>
        <w:t>2. Where this occurred</w:t>
      </w:r>
    </w:p>
    <w:tbl>
      <w:tblPr>
        <w:tblStyle w:val="LightGrid-Accent1"/>
        <w:tblW w:type="auto" w:w="0"/>
        <w:tblLook w:firstColumn="1" w:firstRow="1" w:lastColumn="0" w:lastRow="0" w:noHBand="0" w:noVBand="1" w:val="04A0"/>
      </w:tblPr>
      <w:tblGrid>
        <w:gridCol w:w="4320"/>
        <w:gridCol w:w="4320"/>
      </w:tblGrid>
      <w:tr>
        <w:tc>
          <w:tcPr>
            <w:tcW w:type="dxa" w:w="4320"/>
          </w:tcPr>
          <w:p>
            <w:r>
              <w:rPr>
                <w:sz w:val="19"/>
              </w:rPr>
              <w:t>Module</w:t>
            </w:r>
          </w:p>
        </w:tc>
        <w:tc>
          <w:tcPr>
            <w:tcW w:type="dxa" w:w="4320"/>
          </w:tcPr>
          <w:p>
            <w:r>
              <w:rPr>
                <w:sz w:val="19"/>
              </w:rPr>
              <w:t>M14 — Charge noise</w:t>
            </w:r>
          </w:p>
        </w:tc>
      </w:tr>
      <w:tr>
        <w:tc>
          <w:tcPr>
            <w:tcW w:type="dxa" w:w="4320"/>
          </w:tcPr>
          <w:p>
            <w:r>
              <w:rPr>
                <w:sz w:val="19"/>
              </w:rPr>
              <w:t>Script</w:t>
            </w:r>
          </w:p>
        </w:tc>
        <w:tc>
          <w:tcPr>
            <w:tcW w:type="dxa" w:w="4320"/>
          </w:tcPr>
          <w:p>
            <w:r>
              <w:rPr>
                <w:sz w:val="19"/>
              </w:rPr>
              <w:t>background_charges.py</w:t>
            </w:r>
          </w:p>
        </w:tc>
      </w:tr>
      <w:tr>
        <w:tc>
          <w:tcPr>
            <w:tcW w:type="dxa" w:w="4320"/>
          </w:tcPr>
          <w:p>
            <w:r>
              <w:rPr>
                <w:sz w:val="19"/>
              </w:rPr>
              <w:t>Device</w:t>
            </w:r>
          </w:p>
        </w:tc>
        <w:tc>
          <w:tcPr>
            <w:tcW w:type="dxa" w:w="4320"/>
          </w:tcPr>
          <w:p>
            <w:r>
              <w:rPr>
                <w:sz w:val="19"/>
              </w:rPr>
              <w:t>Nanowire MOSFET (background_charges tutorial device)</w:t>
            </w:r>
          </w:p>
        </w:tc>
      </w:tr>
      <w:tr>
        <w:tc>
          <w:tcPr>
            <w:tcW w:type="dxa" w:w="4320"/>
          </w:tcPr>
          <w:p>
            <w:r>
              <w:rPr>
                <w:sz w:val="19"/>
              </w:rPr>
              <w:t>Official tutorial reference</w:t>
            </w:r>
          </w:p>
        </w:tc>
        <w:tc>
          <w:tcPr>
            <w:tcW w:type="dxa" w:w="4320"/>
          </w:tcPr>
          <w:p>
            <w:r>
              <w:rPr>
                <w:sz w:val="19"/>
              </w:rPr>
              <w:t>https://docs.nanoacademic.com/qtcad/tutorials/device/background_charges/, section 3.5</w:t>
            </w:r>
          </w:p>
        </w:tc>
      </w:tr>
      <w:tr>
        <w:tc>
          <w:tcPr>
            <w:tcW w:type="dxa" w:w="4320"/>
          </w:tcPr>
          <w:p>
            <w:r>
              <w:rPr>
                <w:sz w:val="19"/>
              </w:rPr>
              <w:t>Call site in our copy of the script</w:t>
            </w:r>
          </w:p>
        </w:tc>
        <w:tc>
          <w:tcPr>
            <w:tcW w:type="dxa" w:w="4320"/>
          </w:tcPr>
          <w:p>
            <w:r>
              <w:rPr>
                <w:sz w:val="19"/>
              </w:rPr>
              <w:t>background_charges.py, originally around the charge-density visualization step, after both nonlinear Poisson solves (with and without background charge) complete</w:t>
            </w:r>
          </w:p>
        </w:tc>
      </w:tr>
    </w:tbl>
    <w:p/>
    <w:p>
      <w:pPr>
        <w:pStyle w:val="Heading1"/>
      </w:pPr>
      <w:r>
        <w:t>3. Original code (as given by the official tutorial)</w:t>
      </w:r>
    </w:p>
    <w:p>
      <w:r>
        <w:rPr>
          <w:b w:val="0"/>
          <w:sz w:val="21"/>
        </w:rPr>
        <w:t>The official M14 tutorial (“Poisson solver with background charges”) calls the following at the charge-density visualization step, confirmed against the official tutorial page text:</w:t>
      </w:r>
    </w:p>
    <w:tbl>
      <w:tblPr>
        <w:tblW w:type="auto" w:w="0"/>
        <w:tblLook w:firstColumn="1" w:firstRow="1" w:lastColumn="0" w:lastRow="0" w:noHBand="0" w:noVBand="1" w:val="04A0"/>
      </w:tblPr>
      <w:tblGrid>
        <w:gridCol w:w="8640"/>
      </w:tblGrid>
      <w:tr>
        <w:tc>
          <w:tcPr>
            <w:tcW w:type="dxa" w:w="8640"/>
            <w:shd w:val="clear" w:color="auto" w:fill="F2F2F2"/>
          </w:tcPr>
          <w:p>
            <w:r/>
            <w:r>
              <w:rPr>
                <w:sz w:val="18"/>
                <w:rFonts w:ascii="Consolas" w:hAnsi="Consolas"/>
              </w:rPr>
              <w:t>analysis.plot_slices(dvc.mesh, dvc.rho/ct.e/1e6, title="rho/e (cm^-3)")</w:t>
            </w:r>
          </w:p>
        </w:tc>
      </w:tr>
    </w:tbl>
    <w:p/>
    <w:p>
      <w:r>
        <w:rPr>
          <w:b w:val="0"/>
          <w:sz w:val="21"/>
        </w:rPr>
        <w:t>This single call is documented to produce visualizations of the charge density distribution across orthogonal slices of the nanowire geometry.</w:t>
      </w:r>
    </w:p>
    <w:p>
      <w:pPr>
        <w:pStyle w:val="Heading1"/>
      </w:pPr>
      <w:r>
        <w:t>4. Symptom</w:t>
      </w:r>
    </w:p>
    <w:p>
      <w:r>
        <w:rPr>
          <w:b w:val="0"/>
          <w:sz w:val="21"/>
        </w:rPr>
        <w:t>Running the script as-is, the analysis.plot_slices() call did not return within a reasonable time. Wall-clock timing isolated to this single call showed approximately 900 seconds (15 minutes), versus low single-digit seconds for every other step in the same script, including:</w:t>
      </w:r>
    </w:p>
    <w:p>
      <w:pPr>
        <w:pStyle w:val="ListBullet"/>
      </w:pPr>
      <w:r>
        <w:rPr>
          <w:sz w:val="21"/>
        </w:rPr>
        <w:t>Loading the mesh</w:t>
      </w:r>
    </w:p>
    <w:p>
      <w:pPr>
        <w:pStyle w:val="ListBullet"/>
      </w:pPr>
      <w:r>
        <w:rPr>
          <w:sz w:val="21"/>
        </w:rPr>
        <w:t>Solving the nonlinear Poisson equation without background charges</w:t>
      </w:r>
    </w:p>
    <w:p>
      <w:pPr>
        <w:pStyle w:val="ListBullet"/>
      </w:pPr>
      <w:r>
        <w:rPr>
          <w:sz w:val="21"/>
        </w:rPr>
        <w:t>Solving the nonlinear Poisson equation with background charges</w:t>
      </w:r>
    </w:p>
    <w:p>
      <w:pPr>
        <w:pStyle w:val="ListBullet"/>
      </w:pPr>
      <w:r>
        <w:rPr>
          <w:sz w:val="21"/>
        </w:rPr>
        <w:t>Extracting and plotting 1D linecuts of the conduction band edge (z-axis and y-axis)</w:t>
      </w:r>
    </w:p>
    <w:p>
      <w:r>
        <w:rPr>
          <w:b w:val="0"/>
          <w:sz w:val="21"/>
        </w:rPr>
        <w:t>In other words, a single plotting call accounted for the overwhelming majority of the script's total runtime, out of proportion to the physics computation it was meant to visualize.</w:t>
      </w:r>
    </w:p>
    <w:p>
      <w:pPr>
        <w:pStyle w:val="Heading1"/>
      </w:pPr>
      <w:r>
        <w:t>5. Root-cause diagnosis</w:t>
      </w:r>
    </w:p>
    <w:p>
      <w:r>
        <w:rPr>
          <w:b w:val="0"/>
          <w:sz w:val="21"/>
        </w:rPr>
        <w:t>analysis.plot_slices() renders through a VTK-based pipeline. Its docstring documents an internal “length_unit” argument used specifically “for the output .vtu file,” where .vtu is VTK's XML unstructured-grid format — indicating the slice rendering is built on VTK internally. The actual implementation sits inside a compiled binary module, so this could not be confirmed by direct source inspection; it is inferred from this docstring reference.</w:t>
      </w:r>
    </w:p>
    <w:p>
      <w:r>
        <w:rPr>
          <w:b w:val="0"/>
          <w:sz w:val="21"/>
        </w:rPr>
        <w:t>We did not run a separate dedicated memory-profiling test for this specific call; the determination that this is a rendering-pipeline bottleneck rather than a correctness or memory problem rests on the measured wall-clock time (~900 s for one call, versus single-digit seconds for every other step in the same script) and on the fact that the script completed successfully (no crash, no error) — only unreasonably slowly.</w:t>
      </w:r>
    </w:p>
    <w:p>
      <w:r>
        <w:rPr>
          <w:b w:val="0"/>
          <w:sz w:val="21"/>
        </w:rPr>
        <w:t>Practical implication: for headless / batch QTCAD runs, analysis.plot_slices() should be treated as a potential multi-minute bottleneck regardless of problem size, and avoided or replaced with a direct reconstruction from the underlying array in automated pipelines.</w:t>
      </w:r>
    </w:p>
    <w:p>
      <w:pPr>
        <w:pStyle w:val="Heading1"/>
      </w:pPr>
      <w:r>
        <w:t>6. Data-structure finding that enabled the fix</w:t>
      </w:r>
    </w:p>
    <w:p>
      <w:r>
        <w:rPr>
          <w:b w:val="0"/>
          <w:sz w:val="21"/>
        </w:rPr>
        <w:t>dvc.rho is stored per tetrahedral mesh element, with one value per corner node (shape (Ntetra, 4)) — it is NOT stored per global mesh node (dvc.mesh.glob_nodes). This was confirmed by inspecting the array shape directly. Reconstructing a 2D slice therefore requires:</w:t>
      </w:r>
    </w:p>
    <w:p>
      <w:pPr>
        <w:pStyle w:val="ListBullet"/>
      </w:pPr>
      <w:r>
        <w:rPr>
          <w:sz w:val="21"/>
        </w:rPr>
        <w:t>Using the mesh connectivity array to map each tetrahedral element to its 4 corner node positions, and averaging those positions to get an element centroid.</w:t>
      </w:r>
    </w:p>
    <w:p>
      <w:pPr>
        <w:pStyle w:val="ListBullet"/>
      </w:pPr>
      <w:r>
        <w:rPr>
          <w:sz w:val="21"/>
        </w:rPr>
        <w:t>Averaging the 4 per-corner rho values of each element to get one representative value per element.</w:t>
      </w:r>
    </w:p>
    <w:p>
      <w:pPr>
        <w:pStyle w:val="ListBullet"/>
      </w:pPr>
      <w:r>
        <w:rPr>
          <w:sz w:val="21"/>
        </w:rPr>
        <w:t>Selecting elements whose centroid falls within a thin slab near the plane of interest (e.g., |x| &lt; 0.3 nm for the x≈0 plane).</w:t>
      </w:r>
    </w:p>
    <w:p>
      <w:pPr>
        <w:pStyle w:val="Heading1"/>
      </w:pPr>
      <w:r>
        <w:t>7. Replacement code</w:t>
      </w:r>
    </w:p>
    <w:tbl>
      <w:tblPr>
        <w:tblW w:type="auto" w:w="0"/>
        <w:tblLook w:firstColumn="1" w:firstRow="1" w:lastColumn="0" w:lastRow="0" w:noHBand="0" w:noVBand="1" w:val="04A0"/>
      </w:tblPr>
      <w:tblGrid>
        <w:gridCol w:w="8640"/>
      </w:tblGrid>
      <w:tr>
        <w:tc>
          <w:tcPr>
            <w:tcW w:type="dxa" w:w="8640"/>
            <w:shd w:val="clear" w:color="auto" w:fill="F2F2F2"/>
          </w:tcPr>
          <w:p>
            <w:r/>
            <w:r>
              <w:rPr>
                <w:sz w:val="18"/>
                <w:rFonts w:ascii="Consolas" w:hAnsi="Consolas"/>
              </w:rPr>
              <w:t>nodes = dvc.mesh.glob_nodes</w:t>
            </w:r>
            <w:r>
              <w:br/>
            </w:r>
            <w:r>
              <w:rPr>
                <w:sz w:val="18"/>
                <w:rFonts w:ascii="Consolas" w:hAnsi="Consolas"/>
              </w:rPr>
              <w:t>connectivity = np.asarray(dvc.mesh.connectivity)</w:t>
            </w:r>
            <w:r>
              <w:br/>
            </w:r>
            <w:r>
              <w:rPr>
                <w:sz w:val="18"/>
                <w:rFonts w:ascii="Consolas" w:hAnsi="Consolas"/>
              </w:rPr>
              <w:t>centroids = nodes[connectivity].mean(axis=1)          # (Ntetra, 3)</w:t>
            </w:r>
            <w:r>
              <w:br/>
            </w:r>
            <w:r>
              <w:rPr>
                <w:sz w:val="18"/>
                <w:rFonts w:ascii="Consolas" w:hAnsi="Consolas"/>
              </w:rPr>
              <w:t>rho_cm3 = (dvc.rho / ct.e / 1e6).mean(axis=1)          # (Ntetra,)</w:t>
            </w:r>
            <w:r>
              <w:br/>
            </w:r>
            <w:r>
              <w:rPr>
                <w:sz w:val="18"/>
                <w:rFonts w:ascii="Consolas" w:hAnsi="Consolas"/>
              </w:rPr>
              <w:t>slice_mask = np.abs(centroids[:, 0]) &lt; 0.3e-9          # near x=0 plane</w:t>
            </w:r>
            <w:r>
              <w:br/>
            </w:r>
            <w:r>
              <w:rPr>
                <w:sz w:val="18"/>
                <w:rFonts w:ascii="Consolas" w:hAnsi="Consolas"/>
              </w:rPr>
            </w:r>
            <w:r>
              <w:br/>
            </w:r>
            <w:r>
              <w:rPr>
                <w:sz w:val="18"/>
                <w:rFonts w:ascii="Consolas" w:hAnsi="Consolas"/>
              </w:rPr>
              <w:t>fig2, ax = plt.subplots(figsize=(6, 7))</w:t>
            </w:r>
            <w:r>
              <w:br/>
            </w:r>
            <w:r>
              <w:rPr>
                <w:sz w:val="18"/>
                <w:rFonts w:ascii="Consolas" w:hAnsi="Consolas"/>
              </w:rPr>
              <w:t>sc = ax.scatter(</w:t>
            </w:r>
            <w:r>
              <w:br/>
            </w:r>
            <w:r>
              <w:rPr>
                <w:sz w:val="18"/>
                <w:rFonts w:ascii="Consolas" w:hAnsi="Consolas"/>
              </w:rPr>
              <w:t xml:space="preserve">    centroids[slice_mask, 1] / 1e-9,</w:t>
            </w:r>
            <w:r>
              <w:br/>
            </w:r>
            <w:r>
              <w:rPr>
                <w:sz w:val="18"/>
                <w:rFonts w:ascii="Consolas" w:hAnsi="Consolas"/>
              </w:rPr>
              <w:t xml:space="preserve">    centroids[slice_mask, 2] / 1e-9,</w:t>
            </w:r>
            <w:r>
              <w:br/>
            </w:r>
            <w:r>
              <w:rPr>
                <w:sz w:val="18"/>
                <w:rFonts w:ascii="Consolas" w:hAnsi="Consolas"/>
              </w:rPr>
              <w:t xml:space="preserve">    c=rho_cm3[slice_mask],</w:t>
            </w:r>
            <w:r>
              <w:br/>
            </w:r>
            <w:r>
              <w:rPr>
                <w:sz w:val="18"/>
                <w:rFonts w:ascii="Consolas" w:hAnsi="Consolas"/>
              </w:rPr>
              <w:t xml:space="preserve">    cmap="viridis",</w:t>
            </w:r>
            <w:r>
              <w:br/>
            </w:r>
            <w:r>
              <w:rPr>
                <w:sz w:val="18"/>
                <w:rFonts w:ascii="Consolas" w:hAnsi="Consolas"/>
              </w:rPr>
              <w:t xml:space="preserve">    s=8,</w:t>
            </w:r>
            <w:r>
              <w:br/>
            </w:r>
            <w:r>
              <w:rPr>
                <w:sz w:val="18"/>
                <w:rFonts w:ascii="Consolas" w:hAnsi="Consolas"/>
              </w:rPr>
              <w:t>)</w:t>
            </w:r>
            <w:r>
              <w:br/>
            </w:r>
            <w:r>
              <w:rPr>
                <w:sz w:val="18"/>
                <w:rFonts w:ascii="Consolas" w:hAnsi="Consolas"/>
              </w:rPr>
              <w:t>fig2.colorbar(sc, ax=ax, label=r"$\rho/e$ (cm$^{-3}$)")</w:t>
            </w:r>
          </w:p>
        </w:tc>
      </w:tr>
    </w:tbl>
    <w:p/>
    <w:p>
      <w:r>
        <w:rPr>
          <w:b w:val="0"/>
          <w:sz w:val="21"/>
        </w:rPr>
        <w:t>The resulting array (y, z, rho_cm3 for the selected slice) is also saved to background_charges_rho_slice.npz so the same slice can be replotted later without re-running the Poisson solve.</w:t>
      </w:r>
    </w:p>
    <w:p>
      <w:pPr>
        <w:pStyle w:val="Heading1"/>
      </w:pPr>
      <w:r>
        <w:t>8. Before / after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p>
        </w:tc>
        <w:tc>
          <w:tcPr>
            <w:tcW w:type="dxa" w:w="2880"/>
          </w:tcPr>
          <w:p>
            <w:r>
              <w:rPr>
                <w:b/>
                <w:sz w:val="19"/>
              </w:rPr>
              <w:t>Original (analysis.plot_slices)</w:t>
            </w:r>
          </w:p>
        </w:tc>
        <w:tc>
          <w:tcPr>
            <w:tcW w:type="dxa" w:w="2880"/>
          </w:tcPr>
          <w:p>
            <w:r>
              <w:rPr>
                <w:b/>
                <w:sz w:val="19"/>
              </w:rPr>
              <w:t>Replacement (matplotlib scatter)</w:t>
            </w:r>
          </w:p>
        </w:tc>
      </w:tr>
      <w:tr>
        <w:tc>
          <w:tcPr>
            <w:tcW w:type="dxa" w:w="2880"/>
          </w:tcPr>
          <w:p>
            <w:r>
              <w:rPr>
                <w:sz w:val="19"/>
              </w:rPr>
              <w:t>Wall time</w:t>
            </w:r>
          </w:p>
        </w:tc>
        <w:tc>
          <w:tcPr>
            <w:tcW w:type="dxa" w:w="2880"/>
          </w:tcPr>
          <w:p>
            <w:r>
              <w:rPr>
                <w:sz w:val="19"/>
              </w:rPr>
              <w:t>~900 s (~15 min)</w:t>
            </w:r>
          </w:p>
        </w:tc>
        <w:tc>
          <w:tcPr>
            <w:tcW w:type="dxa" w:w="2880"/>
          </w:tcPr>
          <w:p>
            <w:r>
              <w:rPr>
                <w:sz w:val="19"/>
              </w:rPr>
              <w:t>~24 s</w:t>
            </w:r>
          </w:p>
        </w:tc>
      </w:tr>
      <w:tr>
        <w:tc>
          <w:tcPr>
            <w:tcW w:type="dxa" w:w="2880"/>
          </w:tcPr>
          <w:p>
            <w:r>
              <w:rPr>
                <w:sz w:val="19"/>
              </w:rPr>
              <w:t>Speedup</w:t>
            </w:r>
          </w:p>
        </w:tc>
        <w:tc>
          <w:tcPr>
            <w:tcW w:type="dxa" w:w="2880"/>
          </w:tcPr>
          <w:p>
            <w:r>
              <w:rPr>
                <w:sz w:val="19"/>
              </w:rPr>
              <w:t>—</w:t>
            </w:r>
          </w:p>
        </w:tc>
        <w:tc>
          <w:tcPr>
            <w:tcW w:type="dxa" w:w="2880"/>
          </w:tcPr>
          <w:p>
            <w:r>
              <w:rPr>
                <w:sz w:val="19"/>
              </w:rPr>
              <w:t>~37x</w:t>
            </w:r>
          </w:p>
        </w:tc>
      </w:tr>
      <w:tr>
        <w:tc>
          <w:tcPr>
            <w:tcW w:type="dxa" w:w="2880"/>
          </w:tcPr>
          <w:p>
            <w:r>
              <w:rPr>
                <w:sz w:val="19"/>
              </w:rPr>
              <w:t>Rendering backend</w:t>
            </w:r>
          </w:p>
        </w:tc>
        <w:tc>
          <w:tcPr>
            <w:tcW w:type="dxa" w:w="2880"/>
          </w:tcPr>
          <w:p>
            <w:r>
              <w:rPr>
                <w:sz w:val="19"/>
              </w:rPr>
              <w:t>VTK / pyvista, off-screen 3D</w:t>
            </w:r>
          </w:p>
        </w:tc>
        <w:tc>
          <w:tcPr>
            <w:tcW w:type="dxa" w:w="2880"/>
          </w:tcPr>
          <w:p>
            <w:r>
              <w:rPr>
                <w:sz w:val="19"/>
              </w:rPr>
              <w:t>matplotlib 2D scatter</w:t>
            </w:r>
          </w:p>
        </w:tc>
      </w:tr>
      <w:tr>
        <w:tc>
          <w:tcPr>
            <w:tcW w:type="dxa" w:w="2880"/>
          </w:tcPr>
          <w:p>
            <w:r>
              <w:rPr>
                <w:sz w:val="19"/>
              </w:rPr>
              <w:t>Data source</w:t>
            </w:r>
          </w:p>
        </w:tc>
        <w:tc>
          <w:tcPr>
            <w:tcW w:type="dxa" w:w="2880"/>
          </w:tcPr>
          <w:p>
            <w:r>
              <w:rPr>
                <w:sz w:val="19"/>
              </w:rPr>
              <w:t>dvc.rho passed directly to plot_slices()</w:t>
            </w:r>
          </w:p>
        </w:tc>
        <w:tc>
          <w:tcPr>
            <w:tcW w:type="dxa" w:w="2880"/>
          </w:tcPr>
          <w:p>
            <w:r>
              <w:rPr>
                <w:sz w:val="19"/>
              </w:rPr>
              <w:t>dvc.rho averaged to element centroids, same underlying array</w:t>
            </w:r>
          </w:p>
        </w:tc>
      </w:tr>
      <w:tr>
        <w:tc>
          <w:tcPr>
            <w:tcW w:type="dxa" w:w="2880"/>
          </w:tcPr>
          <w:p>
            <w:r>
              <w:rPr>
                <w:sz w:val="19"/>
              </w:rPr>
              <w:t>Information content</w:t>
            </w:r>
          </w:p>
        </w:tc>
        <w:tc>
          <w:tcPr>
            <w:tcW w:type="dxa" w:w="2880"/>
          </w:tcPr>
          <w:p>
            <w:r>
              <w:rPr>
                <w:sz w:val="19"/>
              </w:rPr>
              <w:t>3D interpolated slices through the volume</w:t>
            </w:r>
          </w:p>
        </w:tc>
        <w:tc>
          <w:tcPr>
            <w:tcW w:type="dxa" w:w="2880"/>
          </w:tcPr>
          <w:p>
            <w:r>
              <w:rPr>
                <w:sz w:val="19"/>
              </w:rPr>
              <w:t>Discrete element-centroid values on a thin slab near the chosen plane — physically equivalent data, different interpolation method (no volumetric interpolation between elements)</w:t>
            </w:r>
          </w:p>
        </w:tc>
      </w:tr>
    </w:tbl>
    <w:p/>
    <w:p>
      <w:pPr>
        <w:pStyle w:val="Heading1"/>
      </w:pPr>
      <w:r>
        <w:t>9. Validity of the replacement</w:t>
      </w:r>
    </w:p>
    <w:p>
      <w:r>
        <w:rPr>
          <w:b w:val="0"/>
          <w:sz w:val="21"/>
        </w:rPr>
        <w:t>The replacement is explicitly noted in the analysis notebook's “Interpretation caveats” section as carrying the same physical information but a different interpolation method than the original VTK-based slice — it was not presented as a pixel-for-pixel identical plot. The underlying numeric values (dvc.rho) are unchanged; only the plotting/interpolation path differs.</w:t>
      </w:r>
    </w:p>
    <w:p>
      <w:pPr>
        <w:pStyle w:val="Heading1"/>
      </w:pPr>
      <w:r>
        <w:t>10. Generalizability</w:t>
      </w:r>
    </w:p>
    <w:p>
      <w:r>
        <w:rPr>
          <w:b w:val="0"/>
          <w:sz w:val="21"/>
        </w:rPr>
        <w:t>This bottleneck was confirmed specifically for analysis.plot_slices() in this module. Other QTCAD visualization calls that may route through a similar off-screen rendering path (e.g., Mesh.show(), Device.show()) should be treated as suspect for the same kind of slowdown in headless/batch pipelines, but this was not independently re-verified for those specific functions in this analysis — the recommendation here is precautionary, scoped to plot_slices() as the confirmed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