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맑은 고딕" w:hAnsi="맑은 고딕" w:eastAsia="맑은 고딕"/>
          <w:b/>
          <w:i w:val="0"/>
          <w:sz w:val="36"/>
        </w:rPr>
        <w:t>논문 심사 보고서</w:t>
      </w:r>
    </w:p>
    <w:p>
      <w:pPr>
        <w:spacing w:after="280"/>
        <w:jc w:val="center"/>
      </w:pPr>
      <w:r>
        <w:rPr>
          <w:rFonts w:ascii="맑은 고딕" w:hAnsi="맑은 고딕" w:eastAsia="맑은 고딕"/>
          <w:b w:val="0"/>
          <w:i w:val="0"/>
          <w:color w:val="646464"/>
          <w:sz w:val="22"/>
        </w:rPr>
        <w:t>Peer Review Report</w:t>
      </w:r>
    </w:p>
    <w:p>
      <w:r>
        <w:t>──────────────────────────────────────────────────────────</w:t>
      </w:r>
    </w:p>
    <w:tbl>
      <w:tblPr>
        <w:tblStyle w:val="TableGrid"/>
        <w:tblW w:type="auto" w:w="0"/>
        <w:tblLook w:firstColumn="1" w:firstRow="1" w:lastColumn="0" w:lastRow="0" w:noHBand="0" w:noVBand="1" w:val="04A0"/>
      </w:tblPr>
      <w:tblGrid>
        <w:gridCol w:w="4419"/>
        <w:gridCol w:w="4419"/>
      </w:tblGrid>
      <w:tr>
        <w:tc>
          <w:tcPr>
            <w:tcW w:type="dxa" w:w="4419"/>
          </w:tcPr>
          <w:p>
            <w:r>
              <w:rPr>
                <w:rFonts w:ascii="맑은 고딕" w:hAnsi="맑은 고딕" w:eastAsia="맑은 고딕"/>
                <w:b/>
                <w:i w:val="0"/>
                <w:sz w:val="20"/>
              </w:rPr>
              <w:t>논문 제목</w:t>
            </w:r>
          </w:p>
        </w:tc>
        <w:tc>
          <w:tcPr>
            <w:tcW w:type="dxa" w:w="4419"/>
          </w:tcPr>
          <w:p>
            <w:r>
              <w:rPr>
                <w:rFonts w:ascii="맑은 고딕" w:hAnsi="맑은 고딕" w:eastAsia="맑은 고딕"/>
                <w:b w:val="0"/>
                <w:i w:val="0"/>
                <w:sz w:val="20"/>
              </w:rPr>
              <w:t>AI추출 생리심리 시계열 데이터 기반 학습자 유형별 자기조절학습의 차이 분석</w:t>
            </w:r>
          </w:p>
        </w:tc>
      </w:tr>
      <w:tr>
        <w:tc>
          <w:tcPr>
            <w:tcW w:type="dxa" w:w="4419"/>
          </w:tcPr>
          <w:p>
            <w:r>
              <w:rPr>
                <w:rFonts w:ascii="맑은 고딕" w:hAnsi="맑은 고딕" w:eastAsia="맑은 고딕"/>
                <w:b/>
                <w:i w:val="0"/>
                <w:sz w:val="20"/>
              </w:rPr>
              <w:t>심사일</w:t>
            </w:r>
          </w:p>
        </w:tc>
        <w:tc>
          <w:tcPr>
            <w:tcW w:type="dxa" w:w="4419"/>
          </w:tcPr>
          <w:p>
            <w:r>
              <w:rPr>
                <w:rFonts w:ascii="맑은 고딕" w:hAnsi="맑은 고딕" w:eastAsia="맑은 고딕"/>
                <w:b w:val="0"/>
                <w:i w:val="0"/>
                <w:sz w:val="20"/>
              </w:rPr>
              <w:t>2026년 5월 4일</w:t>
            </w:r>
          </w:p>
        </w:tc>
      </w:tr>
      <w:tr>
        <w:tc>
          <w:tcPr>
            <w:tcW w:type="dxa" w:w="4419"/>
          </w:tcPr>
          <w:p>
            <w:r>
              <w:rPr>
                <w:rFonts w:ascii="맑은 고딕" w:hAnsi="맑은 고딕" w:eastAsia="맑은 고딕"/>
                <w:b/>
                <w:i w:val="0"/>
                <w:sz w:val="20"/>
              </w:rPr>
              <w:t>심사자</w:t>
            </w:r>
          </w:p>
        </w:tc>
        <w:tc>
          <w:tcPr>
            <w:tcW w:type="dxa" w:w="4419"/>
          </w:tcPr>
          <w:p>
            <w:r>
              <w:rPr>
                <w:rFonts w:ascii="맑은 고딕" w:hAnsi="맑은 고딕" w:eastAsia="맑은 고딕"/>
                <w:b w:val="0"/>
                <w:i w:val="0"/>
                <w:sz w:val="20"/>
              </w:rPr>
              <w:t>익명 심사자 (Blind Review)</w:t>
            </w:r>
          </w:p>
        </w:tc>
      </w:tr>
      <w:tr>
        <w:tc>
          <w:tcPr>
            <w:tcW w:type="dxa" w:w="4419"/>
          </w:tcPr>
          <w:p>
            <w:r>
              <w:rPr>
                <w:rFonts w:ascii="맑은 고딕" w:hAnsi="맑은 고딕" w:eastAsia="맑은 고딕"/>
                <w:b/>
                <w:i w:val="0"/>
                <w:sz w:val="20"/>
              </w:rPr>
              <w:t>투고 학술지</w:t>
            </w:r>
          </w:p>
        </w:tc>
        <w:tc>
          <w:tcPr>
            <w:tcW w:type="dxa" w:w="4419"/>
          </w:tcPr>
          <w:p>
            <w:r>
              <w:rPr>
                <w:rFonts w:ascii="맑은 고딕" w:hAnsi="맑은 고딕" w:eastAsia="맑은 고딕"/>
                <w:b w:val="0"/>
                <w:i w:val="0"/>
                <w:sz w:val="20"/>
              </w:rPr>
              <w:t>교육심리연구 (Korean Journal of Educational Psychology)</w:t>
            </w:r>
          </w:p>
        </w:tc>
      </w:tr>
      <w:tr>
        <w:tc>
          <w:tcPr>
            <w:tcW w:type="dxa" w:w="4419"/>
          </w:tcPr>
          <w:p>
            <w:r>
              <w:rPr>
                <w:rFonts w:ascii="맑은 고딕" w:hAnsi="맑은 고딕" w:eastAsia="맑은 고딕"/>
                <w:b/>
                <w:i w:val="0"/>
                <w:sz w:val="20"/>
              </w:rPr>
              <w:t>최종 판정</w:t>
            </w:r>
          </w:p>
        </w:tc>
        <w:tc>
          <w:tcPr>
            <w:tcW w:type="dxa" w:w="4419"/>
          </w:tcPr>
          <w:p>
            <w:r>
              <w:rPr>
                <w:rFonts w:ascii="맑은 고딕" w:hAnsi="맑은 고딕" w:eastAsia="맑은 고딕"/>
                <w:b/>
                <w:i w:val="0"/>
                <w:color w:val="B43232"/>
                <w:sz w:val="20"/>
              </w:rPr>
              <w:t>수정 후 재심 (Major Revision Required)</w:t>
            </w:r>
          </w:p>
        </w:tc>
      </w:tr>
    </w:tbl>
    <w:p/>
    <w:p>
      <w:pPr>
        <w:spacing w:before="240" w:after="100"/>
      </w:pPr>
      <w:r>
        <w:rPr>
          <w:rFonts w:ascii="맑은 고딕" w:hAnsi="맑은 고딕" w:eastAsia="맑은 고딕"/>
          <w:b/>
          <w:i w:val="0"/>
          <w:sz w:val="28"/>
        </w:rPr>
        <w:t>1. 논문 개요 및 심사자 총평</w:t>
      </w:r>
    </w:p>
    <w:p>
      <w:pPr>
        <w:spacing w:after="80"/>
      </w:pPr>
      <w:r>
        <w:rPr>
          <w:rFonts w:ascii="맑은 고딕" w:hAnsi="맑은 고딕" w:eastAsia="맑은 고딕"/>
          <w:b w:val="0"/>
          <w:i w:val="0"/>
          <w:sz w:val="21"/>
        </w:rPr>
        <w:t>본 논문은 AI 기반 학습 케어 플랫폼에서 추출된 생리심리 시계열 데이터(정서, 스트레스, 집중도)를 활용하여, 선행연구에서 도출된 학습자 유형에 따른 자기조절학습(SRL)의 차이를 분석한 연구이다. AI 추출 생리심리 데이터와 전통적 교육심리 변인을 연결하려는 시도는 학습분석학 분야에서 시의성이 높고, 실제 학습 환경에서 수집된 과정 중심 데이터를 교육심리학적으로 해석하려는 점에서 가치 있는 방향을 제시한다.</w:t>
      </w:r>
    </w:p>
    <w:p>
      <w:pPr>
        <w:spacing w:after="80"/>
      </w:pPr>
      <w:r>
        <w:rPr>
          <w:rFonts w:ascii="맑은 고딕" w:hAnsi="맑은 고딕" w:eastAsia="맑은 고딕"/>
          <w:b w:val="0"/>
          <w:i w:val="0"/>
          <w:sz w:val="21"/>
        </w:rPr>
        <w:t>연구 결과, 정서·스트레스 기반 유형에서는 자기조절학습의 유의한 차이가 나타나지 않은 반면, 집중도 기반 유형에서는 유형 주효과 및 시기×유형 상호작용 효과가 일부 변인에서 유의하게 나타났다. 이는 집중도의 시계열적 패턴이 자기조절학습 수준과 변화 방향을 설명하는 핵심 변인임을 시사하는 흥미로운 발견이다.</w:t>
      </w:r>
    </w:p>
    <w:p>
      <w:pPr>
        <w:spacing w:after="80"/>
      </w:pPr>
      <w:r>
        <w:rPr>
          <w:rFonts w:ascii="맑은 고딕" w:hAnsi="맑은 고딕" w:eastAsia="맑은 고딕"/>
          <w:b w:val="0"/>
          <w:i w:val="0"/>
          <w:sz w:val="21"/>
        </w:rPr>
        <w:t>그러나 본 심사자는 아래와 같은 주요 방법론적·개념적 문제들이 논문의 결론 신뢰도를 제한한다고 판단하며, 이를 충분히 해결한 후 재심을 권고한다.</w:t>
      </w:r>
    </w:p>
    <w:p>
      <w:pPr>
        <w:spacing w:before="240" w:after="100"/>
      </w:pPr>
      <w:r>
        <w:rPr>
          <w:rFonts w:ascii="맑은 고딕" w:hAnsi="맑은 고딕" w:eastAsia="맑은 고딕"/>
          <w:b/>
          <w:i w:val="0"/>
          <w:sz w:val="28"/>
        </w:rPr>
        <w:t>2. 주요 수정 요구사항 (Major Revisions)</w:t>
      </w:r>
    </w:p>
    <w:p>
      <w:pPr>
        <w:spacing w:before="240" w:after="100"/>
      </w:pPr>
      <w:r>
        <w:rPr>
          <w:rFonts w:ascii="맑은 고딕" w:hAnsi="맑은 고딕" w:eastAsia="맑은 고딕"/>
          <w:b/>
          <w:i w:val="0"/>
          <w:sz w:val="24"/>
        </w:rPr>
        <w:t>2-1. 표본 크기의 심각한 제한 [최우선 수정 사항]</w:t>
      </w:r>
    </w:p>
    <w:p>
      <w:pPr>
        <w:spacing w:after="80"/>
      </w:pPr>
      <w:r>
        <w:rPr>
          <w:rFonts w:ascii="맑은 고딕" w:hAnsi="맑은 고딕" w:eastAsia="맑은 고딕"/>
          <w:b w:val="0"/>
          <w:i w:val="0"/>
          <w:sz w:val="21"/>
        </w:rPr>
        <w:t>본 연구의 최대 문제는 최종 분석 대상이 N=23에 불과하다는 점이다. 집중도 기반 분석에서 고집중 변동형(코난형) N=9, 저집중 유지형(짱구형) N=14로 분할되어 집단별 사례 수가 통계적 추론의 신뢰성을 확보하기 어려운 수준이다.</w:t>
      </w:r>
    </w:p>
    <w:p>
      <w:pPr>
        <w:spacing w:after="60"/>
        <w:ind w:left="283"/>
      </w:pPr>
      <w:r>
        <w:rPr>
          <w:rFonts w:ascii="맑은 고딕" w:hAnsi="맑은 고딕" w:eastAsia="맑은 고딕"/>
          <w:b w:val="0"/>
          <w:i w:val="0"/>
          <w:sz w:val="21"/>
        </w:rPr>
        <w:t>• 반복측정 분산분석에서 집단간·집단내 요인이 동시에 포함될 경우 각 셀당 최소 10~15명 이상이 권고된다. N=9는 이 기준에 크게 미치지 못한다.</w:t>
      </w:r>
    </w:p>
    <w:p>
      <w:pPr>
        <w:spacing w:after="60"/>
        <w:ind w:left="283"/>
      </w:pPr>
      <w:r>
        <w:rPr>
          <w:rFonts w:ascii="맑은 고딕" w:hAnsi="맑은 고딕" w:eastAsia="맑은 고딕"/>
          <w:b w:val="0"/>
          <w:i w:val="0"/>
          <w:sz w:val="21"/>
        </w:rPr>
        <w:t>• 정서·스트레스 기반 유형에서 비유의 결과가 실제 효과 없음 때문인지, 통계적 검정력 부족(Type II error) 때문인지 구분할 수 없다.</w:t>
      </w:r>
    </w:p>
    <w:p>
      <w:pPr>
        <w:spacing w:after="60"/>
        <w:ind w:left="283"/>
      </w:pPr>
      <w:r>
        <w:rPr>
          <w:rFonts w:ascii="맑은 고딕" w:hAnsi="맑은 고딕" w:eastAsia="맑은 고딕"/>
          <w:b w:val="0"/>
          <w:i w:val="0"/>
          <w:sz w:val="21"/>
        </w:rPr>
        <w:t>• 보고된 효과크기(예: 행동전략 ηp²=.427)는 소표본에서 과대추정될 가능성이 높다. 사후 검정력 분석(post-hoc power analysis)을 추가해야 한다.</w:t>
      </w:r>
    </w:p>
    <w:p>
      <w:pPr>
        <w:spacing w:after="60"/>
        <w:ind w:left="283"/>
      </w:pPr>
      <w:r>
        <w:rPr>
          <w:rFonts w:ascii="맑은 고딕" w:hAnsi="맑은 고딕" w:eastAsia="맑은 고딕"/>
          <w:b w:val="0"/>
          <w:i w:val="0"/>
          <w:sz w:val="21"/>
        </w:rPr>
        <w:t>• 초기 50명 중 27명 탈락(54%)에 대한 탈락자 특성 분석(attrition analysis)이 없어 선택 편향 여부를 확인할 수 없다.</w:t>
      </w:r>
    </w:p>
    <w:p>
      <w:pPr>
        <w:spacing w:after="80"/>
        <w:ind w:left="454"/>
      </w:pPr>
      <w:r>
        <w:rPr>
          <w:rFonts w:ascii="맑은 고딕" w:hAnsi="맑은 고딕" w:eastAsia="맑은 고딕"/>
          <w:b w:val="0"/>
          <w:i w:val="0"/>
          <w:sz w:val="21"/>
        </w:rPr>
        <w:t>수정 방향: 사후 검정력 분석 결과 제시, 소표본 한계를 제한점에서 구체적으로 기술, 탈락자 특성 분석을 본문 또는 부록에 추가할 것.</w:t>
      </w:r>
    </w:p>
    <w:p>
      <w:pPr>
        <w:spacing w:before="240" w:after="100"/>
      </w:pPr>
      <w:r>
        <w:rPr>
          <w:rFonts w:ascii="맑은 고딕" w:hAnsi="맑은 고딕" w:eastAsia="맑은 고딕"/>
          <w:b/>
          <w:i w:val="0"/>
          <w:sz w:val="24"/>
        </w:rPr>
        <w:t>2-2. 스트레스 지표와 정서 지표 간 구인 독립성 문제</w:t>
      </w:r>
    </w:p>
    <w:p>
      <w:pPr>
        <w:spacing w:after="80"/>
      </w:pPr>
      <w:r>
        <w:rPr>
          <w:rFonts w:ascii="맑은 고딕" w:hAnsi="맑은 고딕" w:eastAsia="맑은 고딕"/>
          <w:b w:val="0"/>
          <w:i w:val="0"/>
          <w:sz w:val="21"/>
        </w:rPr>
        <w:t>스트레스 지수와 "화(anger)" 간 상관이 r=.896(p&lt;.001)으로 나타났다. 이는 두 변인이 사실상 동일한 구인을 측정하고 있음을 강하게 시사한다.</w:t>
      </w:r>
    </w:p>
    <w:p>
      <w:pPr>
        <w:spacing w:after="60"/>
        <w:ind w:left="283"/>
      </w:pPr>
      <w:r>
        <w:rPr>
          <w:rFonts w:ascii="맑은 고딕" w:hAnsi="맑은 고딕" w:eastAsia="맑은 고딕"/>
          <w:b w:val="0"/>
          <w:i w:val="0"/>
          <w:sz w:val="21"/>
        </w:rPr>
        <w:t>• 스트레스 지수는 Valence &lt; 0이고 Arousal ≥ 0인 상태로 정의되는데, 이는 "화(고각성-부정)" 범주의 정의와 거의 동일하다. 즉 스트레스 지표는 정서 지표의 부분집합(subset)에 해당한다.</w:t>
      </w:r>
    </w:p>
    <w:p>
      <w:pPr>
        <w:spacing w:after="60"/>
        <w:ind w:left="283"/>
      </w:pPr>
      <w:r>
        <w:rPr>
          <w:rFonts w:ascii="맑은 고딕" w:hAnsi="맑은 고딕" w:eastAsia="맑은 고딕"/>
          <w:b w:val="0"/>
          <w:i w:val="0"/>
          <w:sz w:val="21"/>
        </w:rPr>
        <w:t>• 동일한 Valence-Arousal 좌표계에서 파생된 두 변인을 별도 독립 변인처럼 취급하는 것은 구인 독립성(construct independence)을 위반할 수 있다.</w:t>
      </w:r>
    </w:p>
    <w:p>
      <w:pPr>
        <w:spacing w:after="60"/>
        <w:ind w:left="283"/>
      </w:pPr>
      <w:r>
        <w:rPr>
          <w:rFonts w:ascii="맑은 고딕" w:hAnsi="맑은 고딕" w:eastAsia="맑은 고딕"/>
          <w:b w:val="0"/>
          <w:i w:val="0"/>
          <w:sz w:val="21"/>
        </w:rPr>
        <w:t>• 저자들이 제한점에서 이 문제를 간략히 언급하고 있으나, 그 심각성에 비해 논의가 지나치게 짧다.</w:t>
      </w:r>
    </w:p>
    <w:p>
      <w:pPr>
        <w:spacing w:after="80"/>
        <w:ind w:left="454"/>
      </w:pPr>
      <w:r>
        <w:rPr>
          <w:rFonts w:ascii="맑은 고딕" w:hAnsi="맑은 고딕" w:eastAsia="맑은 고딕"/>
          <w:b w:val="0"/>
          <w:i w:val="0"/>
          <w:sz w:val="21"/>
        </w:rPr>
        <w:t>수정 방향: 정서와 스트레스 지표의 측정 독립성 문제를 이론적 배경 또는 연구방법 섹션에서 명시적으로 다루고, 이것이 결과 해석에 미치는 영향을 심층 논의할 것.</w:t>
      </w:r>
    </w:p>
    <w:p>
      <w:pPr>
        <w:spacing w:before="240" w:after="100"/>
      </w:pPr>
      <w:r>
        <w:rPr>
          <w:rFonts w:ascii="맑은 고딕" w:hAnsi="맑은 고딕" w:eastAsia="맑은 고딕"/>
          <w:b/>
          <w:i w:val="0"/>
          <w:sz w:val="24"/>
        </w:rPr>
        <w:t>2-3. 선행연구(박사학위논문) 기반 유형 적용의 방법론적 명확성 부족</w:t>
      </w:r>
    </w:p>
    <w:p>
      <w:pPr>
        <w:spacing w:after="80"/>
      </w:pPr>
      <w:r>
        <w:rPr>
          <w:rFonts w:ascii="맑은 고딕" w:hAnsi="맑은 고딕" w:eastAsia="맑은 고딕"/>
          <w:b w:val="0"/>
          <w:i w:val="0"/>
          <w:sz w:val="21"/>
        </w:rPr>
        <w:t>본 연구는 선행연구("제1저자, 2026")에서 도출된 학습자 유형을 그대로 적용하였다. 이 선행연구는 동일 저자의 박사학위논문으로 추정된다.</w:t>
      </w:r>
    </w:p>
    <w:p>
      <w:pPr>
        <w:spacing w:after="60"/>
        <w:ind w:left="283"/>
      </w:pPr>
      <w:r>
        <w:rPr>
          <w:rFonts w:ascii="맑은 고딕" w:hAnsi="맑은 고딕" w:eastAsia="맑은 고딕"/>
          <w:b w:val="0"/>
          <w:i w:val="0"/>
          <w:sz w:val="21"/>
        </w:rPr>
        <w:t>• 선행연구와 본 연구의 데이터셋이 동일한지, 일부 중첩되는지, 완전히 별개인지 명시해야 한다. 동일 데이터셋 사용 시 유형 도출과 차이 분석을 동일 데이터에서 수행하는 것은 확인적 연구와 탐색적 연구의 경계를 흐린다.</w:t>
      </w:r>
    </w:p>
    <w:p>
      <w:pPr>
        <w:spacing w:after="60"/>
        <w:ind w:left="283"/>
      </w:pPr>
      <w:r>
        <w:rPr>
          <w:rFonts w:ascii="맑은 고딕" w:hAnsi="맑은 고딕" w:eastAsia="맑은 고딕"/>
          <w:b w:val="0"/>
          <w:i w:val="0"/>
          <w:sz w:val="21"/>
        </w:rPr>
        <w:t>• 유형이 이미 도출된 데이터에서 해당 유형과 종속변인의 관계를 분석하면 과적합(overfitting)의 위험이 있어 외적 타당도가 저해된다.</w:t>
      </w:r>
    </w:p>
    <w:p>
      <w:pPr>
        <w:spacing w:after="60"/>
        <w:ind w:left="283"/>
      </w:pPr>
      <w:r>
        <w:rPr>
          <w:rFonts w:ascii="맑은 고딕" w:hAnsi="맑은 고딕" w:eastAsia="맑은 고딕"/>
          <w:b w:val="0"/>
          <w:i w:val="0"/>
          <w:sz w:val="21"/>
        </w:rPr>
        <w:t>• 표 4에서 학습자 유형 기준 기술이 표 안팎에 혼재되어 가독성이 크게 저하된다. 표를 재구성할 것.</w:t>
      </w:r>
    </w:p>
    <w:p>
      <w:pPr>
        <w:spacing w:after="80"/>
        <w:ind w:left="454"/>
      </w:pPr>
      <w:r>
        <w:rPr>
          <w:rFonts w:ascii="맑은 고딕" w:hAnsi="맑은 고딕" w:eastAsia="맑은 고딕"/>
          <w:b w:val="0"/>
          <w:i w:val="0"/>
          <w:sz w:val="21"/>
        </w:rPr>
        <w:t>수정 방향: 선행연구와 본 연구의 데이터 관계를 연구방법 섹션에서 명확히 기술하고, 동일 데이터셋 사용 시 한계를 명시할 것.</w:t>
      </w:r>
    </w:p>
    <w:p>
      <w:pPr>
        <w:spacing w:before="240" w:after="100"/>
      </w:pPr>
      <w:r>
        <w:rPr>
          <w:rFonts w:ascii="맑은 고딕" w:hAnsi="맑은 고딕" w:eastAsia="맑은 고딕"/>
          <w:b/>
          <w:i w:val="0"/>
          <w:sz w:val="24"/>
        </w:rPr>
        <w:t>2-4. 반직관적 상관관계에 대한 해석 부재</w:t>
      </w:r>
    </w:p>
    <w:p>
      <w:pPr>
        <w:spacing w:after="80"/>
      </w:pPr>
      <w:r>
        <w:rPr>
          <w:rFonts w:ascii="맑은 고딕" w:hAnsi="맑은 고딕" w:eastAsia="맑은 고딕"/>
          <w:b w:val="0"/>
          <w:i w:val="0"/>
          <w:sz w:val="21"/>
        </w:rPr>
        <w:t>기초통계 결과(표 5)에서 이론적 설명이 필요한 반직관적 상관이 나타났으나 저자들이 이를 논의하지 않았다.</w:t>
      </w:r>
    </w:p>
    <w:p>
      <w:pPr>
        <w:spacing w:after="60"/>
        <w:ind w:left="283"/>
      </w:pPr>
      <w:r>
        <w:rPr>
          <w:rFonts w:ascii="맑은 고딕" w:hAnsi="맑은 고딕" w:eastAsia="맑은 고딕"/>
          <w:b w:val="0"/>
          <w:i w:val="0"/>
          <w:sz w:val="21"/>
        </w:rPr>
        <w:t>• 집중도 × 지루함: r=.610(p&lt;.01) — 집중도가 높을수록 지루함도 높다는 결과는 직관에 반한다. 고집중 상태와 지루함 상태의 공존 가능성, 또는 측정 방식의 문제에 대한 해석이 필요하다.</w:t>
      </w:r>
    </w:p>
    <w:p>
      <w:pPr>
        <w:spacing w:after="60"/>
        <w:ind w:left="283"/>
      </w:pPr>
      <w:r>
        <w:rPr>
          <w:rFonts w:ascii="맑은 고딕" w:hAnsi="맑은 고딕" w:eastAsia="맑은 고딕"/>
          <w:b w:val="0"/>
          <w:i w:val="0"/>
          <w:sz w:val="21"/>
        </w:rPr>
        <w:t>• 지루함 × 자기조절학습: r=.490(p&lt;.05) — 지루함이 높을수록 SRL 수준도 높다는 결과는 Pekrun(2006)의 성취정서이론과 상충한다. 이에 대한 이론적 설명이 요구된다.</w:t>
      </w:r>
    </w:p>
    <w:p>
      <w:pPr>
        <w:spacing w:after="60"/>
        <w:ind w:left="283"/>
      </w:pPr>
      <w:r>
        <w:rPr>
          <w:rFonts w:ascii="맑은 고딕" w:hAnsi="맑은 고딕" w:eastAsia="맑은 고딕"/>
          <w:b w:val="0"/>
          <w:i w:val="0"/>
          <w:sz w:val="21"/>
        </w:rPr>
        <w:t>• 집중도와 즐거움(r=.591)보다 집중도와 지루함(r=.610)의 상관이 더 크게 나타난 이유를 설명해야 한다.</w:t>
      </w:r>
    </w:p>
    <w:p>
      <w:pPr>
        <w:spacing w:after="80"/>
        <w:ind w:left="454"/>
      </w:pPr>
      <w:r>
        <w:rPr>
          <w:rFonts w:ascii="맑은 고딕" w:hAnsi="맑은 고딕" w:eastAsia="맑은 고딕"/>
          <w:b w:val="0"/>
          <w:i w:val="0"/>
          <w:sz w:val="21"/>
        </w:rPr>
        <w:t>수정 방향: 논의 섹션에서 이러한 반직관적 상관의 가능한 원인(AI 모델 특성, 집단 이질성, 측정 오류 가능성 등)을 체계적으로 논의할 것.</w:t>
      </w:r>
    </w:p>
    <w:p>
      <w:pPr>
        <w:spacing w:before="240" w:after="100"/>
      </w:pPr>
      <w:r>
        <w:rPr>
          <w:rFonts w:ascii="맑은 고딕" w:hAnsi="맑은 고딕" w:eastAsia="맑은 고딕"/>
          <w:b/>
          <w:i w:val="0"/>
          <w:sz w:val="28"/>
        </w:rPr>
        <w:t>3. 보통 수정 요구사항 (Moderate Revisions)</w:t>
      </w:r>
    </w:p>
    <w:p>
      <w:pPr>
        <w:spacing w:before="240" w:after="100"/>
      </w:pPr>
      <w:r>
        <w:rPr>
          <w:rFonts w:ascii="맑은 고딕" w:hAnsi="맑은 고딕" w:eastAsia="맑은 고딕"/>
          <w:b/>
          <w:i w:val="0"/>
          <w:sz w:val="24"/>
        </w:rPr>
        <w:t>3-1. 통계 보고의 완전성</w:t>
      </w:r>
    </w:p>
    <w:p>
      <w:pPr>
        <w:spacing w:after="60"/>
        <w:ind w:left="283"/>
      </w:pPr>
      <w:r>
        <w:rPr>
          <w:rFonts w:ascii="맑은 고딕" w:hAnsi="맑은 고딕" w:eastAsia="맑은 고딕"/>
          <w:b w:val="0"/>
          <w:i w:val="0"/>
          <w:sz w:val="21"/>
        </w:rPr>
        <w:t>• 반복측정 분산분석에서 구형성 가정(sphericity)에 대한 Mauchly 검정 결과를 보고할 것(본 연구는 시기가 2수준이므로 해당 없을 수 있으나, 원칙상 언급 필요).</w:t>
      </w:r>
    </w:p>
    <w:p>
      <w:pPr>
        <w:spacing w:after="60"/>
        <w:ind w:left="283"/>
      </w:pPr>
      <w:r>
        <w:rPr>
          <w:rFonts w:ascii="맑은 고딕" w:hAnsi="맑은 고딕" w:eastAsia="맑은 고딕"/>
          <w:b w:val="0"/>
          <w:i w:val="0"/>
          <w:sz w:val="21"/>
        </w:rPr>
        <w:t>• 유의한 주효과 확인 후 사후 검정(post-hoc test, 예: Bonferroni) 결과를 체계적으로 보고해야 한다.</w:t>
      </w:r>
    </w:p>
    <w:p>
      <w:pPr>
        <w:spacing w:after="60"/>
        <w:ind w:left="283"/>
      </w:pPr>
      <w:r>
        <w:rPr>
          <w:rFonts w:ascii="맑은 고딕" w:hAnsi="맑은 고딕" w:eastAsia="맑은 고딕"/>
          <w:b w:val="0"/>
          <w:i w:val="0"/>
          <w:sz w:val="21"/>
        </w:rPr>
        <w:t>• 대응표본 t검정 보고 시 Cohen's d 효과크기를 함께 제시하면 결과 해석이 강화된다.</w:t>
      </w:r>
    </w:p>
    <w:p>
      <w:pPr>
        <w:spacing w:before="240" w:after="100"/>
      </w:pPr>
      <w:r>
        <w:rPr>
          <w:rFonts w:ascii="맑은 고딕" w:hAnsi="맑은 고딕" w:eastAsia="맑은 고딕"/>
          <w:b/>
          <w:i w:val="0"/>
          <w:sz w:val="24"/>
        </w:rPr>
        <w:t>3-2. 집중 가중 지수(focus_weighted_index) 가중치 근거</w:t>
      </w:r>
    </w:p>
    <w:p>
      <w:pPr>
        <w:spacing w:after="80"/>
      </w:pPr>
      <w:r>
        <w:rPr>
          <w:rFonts w:ascii="맑은 고딕" w:hAnsi="맑은 고딕" w:eastAsia="맑은 고딕"/>
          <w:b w:val="0"/>
          <w:i w:val="0"/>
          <w:sz w:val="21"/>
        </w:rPr>
        <w:t>집중 시간 70%, 학습 시간 30%의 특정 가중치(7:3)가 어떻게 도출되었는지에 대한 경험적·이론적 근거가 불충분하다. 가중치 결정 과정을 더 명확히 설명하거나, 다른 가중치 조합에 대한 민감도 분석(sensitivity analysis) 결과를 제시할 것.</w:t>
      </w:r>
    </w:p>
    <w:p>
      <w:pPr>
        <w:spacing w:before="240" w:after="100"/>
      </w:pPr>
      <w:r>
        <w:rPr>
          <w:rFonts w:ascii="맑은 고딕" w:hAnsi="맑은 고딕" w:eastAsia="맑은 고딕"/>
          <w:b/>
          <w:i w:val="0"/>
          <w:sz w:val="24"/>
        </w:rPr>
        <w:t>3-3. AI 측정 도구의 타당도 정보 부족</w:t>
      </w:r>
    </w:p>
    <w:p>
      <w:pPr>
        <w:spacing w:after="80"/>
      </w:pPr>
      <w:r>
        <w:rPr>
          <w:rFonts w:ascii="맑은 고딕" w:hAnsi="맑은 고딕" w:eastAsia="맑은 고딕"/>
          <w:b w:val="0"/>
          <w:i w:val="0"/>
          <w:sz w:val="21"/>
        </w:rPr>
        <w:t>대교씨엔에스 AI 모델의 신뢰도·타당도 정보가 충분히 제시되지 않았다. 학습 맥락에서의 얼굴 영상 기반 정서 인식 정확도, 한국 청소년 집단에서의 검증 여부, 환경 변인(조명, 마스크, 카메라 각도 등)의 영향에 관한 정보를 추가해야 한다.</w:t>
      </w:r>
    </w:p>
    <w:p>
      <w:pPr>
        <w:spacing w:before="240" w:after="100"/>
      </w:pPr>
      <w:r>
        <w:rPr>
          <w:rFonts w:ascii="맑은 고딕" w:hAnsi="맑은 고딕" w:eastAsia="맑은 고딕"/>
          <w:b/>
          <w:i w:val="0"/>
          <w:sz w:val="24"/>
        </w:rPr>
        <w:t>3-4. 탈락자 분석(Attrition Analysis) 부재</w:t>
      </w:r>
    </w:p>
    <w:p>
      <w:pPr>
        <w:spacing w:after="80"/>
      </w:pPr>
      <w:r>
        <w:rPr>
          <w:rFonts w:ascii="맑은 고딕" w:hAnsi="맑은 고딕" w:eastAsia="맑은 고딕"/>
          <w:b w:val="0"/>
          <w:i w:val="0"/>
          <w:sz w:val="21"/>
        </w:rPr>
        <w:t>초기 등록자 50명 중 27명(54%)이 분석에서 제외되었다. 탈락자(N=27)와 최종 분석 대상(N=23) 간 주요 변인(사전 SRL, 성별, 사용일수 등)의 차이를 분석·보고해야 한다. 선택 편향이 확인될 경우 연구 결론의 일반화 범위를 더욱 제한해야 한다.</w:t>
      </w:r>
    </w:p>
    <w:p>
      <w:pPr>
        <w:spacing w:before="240" w:after="100"/>
      </w:pPr>
      <w:r>
        <w:rPr>
          <w:rFonts w:ascii="맑은 고딕" w:hAnsi="맑은 고딕" w:eastAsia="맑은 고딕"/>
          <w:b/>
          <w:i w:val="0"/>
          <w:sz w:val="28"/>
        </w:rPr>
        <w:t>4. 소수정 사항 (Minor Revisions)</w:t>
      </w:r>
    </w:p>
    <w:p>
      <w:pPr>
        <w:spacing w:after="80"/>
      </w:pPr>
      <w:r>
        <w:rPr>
          <w:rFonts w:ascii="맑은 고딕" w:hAnsi="맑은 고딕" w:eastAsia="맑은 고딕"/>
          <w:b/>
          <w:i w:val="0"/>
          <w:sz w:val="21"/>
        </w:rPr>
        <w:t>▶ 표 4 레이아웃 전면 수정</w:t>
      </w:r>
    </w:p>
    <w:p>
      <w:pPr>
        <w:spacing w:after="80"/>
        <w:ind w:left="454"/>
      </w:pPr>
      <w:r>
        <w:rPr>
          <w:rFonts w:ascii="맑은 고딕" w:hAnsi="맑은 고딕" w:eastAsia="맑은 고딕"/>
          <w:b w:val="0"/>
          <w:i w:val="0"/>
          <w:sz w:val="21"/>
        </w:rPr>
        <w:t>표 4에서 학습자 유형 기준과 시계열 패턴 기술이 표 안팎에 혼재되어 가독성이 크게 떨어진다. 각 유형의 기준·특성이 한눈에 파악될 수 있도록 표를 재구성할 것.</w:t>
      </w:r>
    </w:p>
    <w:p/>
    <w:p>
      <w:pPr>
        <w:spacing w:after="80"/>
      </w:pPr>
      <w:r>
        <w:rPr>
          <w:rFonts w:ascii="맑은 고딕" w:hAnsi="맑은 고딕" w:eastAsia="맑은 고딕"/>
          <w:b/>
          <w:i w:val="0"/>
          <w:sz w:val="21"/>
        </w:rPr>
        <w:t>▶ 학습자 유형 명칭의 학술적 적절성 검토</w:t>
      </w:r>
    </w:p>
    <w:p>
      <w:pPr>
        <w:spacing w:after="80"/>
        <w:ind w:left="454"/>
      </w:pPr>
      <w:r>
        <w:rPr>
          <w:rFonts w:ascii="맑은 고딕" w:hAnsi="맑은 고딕" w:eastAsia="맑은 고딕"/>
          <w:b w:val="0"/>
          <w:i w:val="0"/>
          <w:sz w:val="21"/>
        </w:rPr>
        <w:t>만화 캐릭터 명칭 사용은 기억술로서 장점이 있으나, 국제 독자 및 학술지 표준 표기와의 적합성을 검토할 것. 공식 명칭(예: 유형 A, B)과 별칭을 병기하는 방식을 권장한다.</w:t>
      </w:r>
    </w:p>
    <w:p/>
    <w:p>
      <w:pPr>
        <w:spacing w:after="80"/>
      </w:pPr>
      <w:r>
        <w:rPr>
          <w:rFonts w:ascii="맑은 고딕" w:hAnsi="맑은 고딕" w:eastAsia="맑은 고딕"/>
          <w:b/>
          <w:i w:val="0"/>
          <w:sz w:val="21"/>
        </w:rPr>
        <w:t>▶ 영문 초록 원어민 교정</w:t>
      </w:r>
    </w:p>
    <w:p>
      <w:pPr>
        <w:spacing w:after="80"/>
        <w:ind w:left="454"/>
      </w:pPr>
      <w:r>
        <w:rPr>
          <w:rFonts w:ascii="맑은 고딕" w:hAnsi="맑은 고딕" w:eastAsia="맑은 고딕"/>
          <w:b w:val="0"/>
          <w:i w:val="0"/>
          <w:sz w:val="21"/>
        </w:rPr>
        <w:t>영문 초록의 내용은 적절하나 일부 표현이 어색하다. 영어 원어민 또는 전문 교정 서비스 검토를 권장한다.</w:t>
      </w:r>
    </w:p>
    <w:p/>
    <w:p>
      <w:pPr>
        <w:spacing w:after="80"/>
      </w:pPr>
      <w:r>
        <w:rPr>
          <w:rFonts w:ascii="맑은 고딕" w:hAnsi="맑은 고딕" w:eastAsia="맑은 고딕"/>
          <w:b/>
          <w:i w:val="0"/>
          <w:sz w:val="21"/>
        </w:rPr>
        <w:t>▶ 참고문헌 완전성 확인</w:t>
      </w:r>
    </w:p>
    <w:p>
      <w:pPr>
        <w:spacing w:after="80"/>
        <w:ind w:left="454"/>
      </w:pPr>
      <w:r>
        <w:rPr>
          <w:rFonts w:ascii="맑은 고딕" w:hAnsi="맑은 고딕" w:eastAsia="맑은 고딕"/>
          <w:b w:val="0"/>
          <w:i w:val="0"/>
          <w:sz w:val="21"/>
        </w:rPr>
        <w:t>Pekrun(2017) 참고문헌 정보가 불완전하다("Emotions in late modernity, 142"는 서지정보 불명확). 모든 참고문헌의 완전한 정보를 APA 7판 기준으로 재확인할 것.</w:t>
      </w:r>
    </w:p>
    <w:p/>
    <w:p>
      <w:pPr>
        <w:spacing w:after="80"/>
      </w:pPr>
      <w:r>
        <w:rPr>
          <w:rFonts w:ascii="맑은 고딕" w:hAnsi="맑은 고딕" w:eastAsia="맑은 고딕"/>
          <w:b/>
          <w:i w:val="0"/>
          <w:sz w:val="21"/>
        </w:rPr>
        <w:t>▶ 본문 띄어쓰기 교정</w:t>
      </w:r>
    </w:p>
    <w:p>
      <w:pPr>
        <w:spacing w:after="80"/>
        <w:ind w:left="454"/>
      </w:pPr>
      <w:r>
        <w:rPr>
          <w:rFonts w:ascii="맑은 고딕" w:hAnsi="맑은 고딕" w:eastAsia="맑은 고딕"/>
          <w:b w:val="0"/>
          <w:i w:val="0"/>
          <w:sz w:val="21"/>
        </w:rPr>
        <w:t>일부 페이지(pp.2-6)에서 어간 띄어쓰기가 누락되어 가독성이 심각하게 저하된다. PDF 변환 문제일 수 있으나 원고 파일에서 확인하고 교정할 것.</w:t>
      </w:r>
    </w:p>
    <w:p/>
    <w:p>
      <w:pPr>
        <w:spacing w:after="80"/>
      </w:pPr>
      <w:r>
        <w:rPr>
          <w:rFonts w:ascii="맑은 고딕" w:hAnsi="맑은 고딕" w:eastAsia="맑은 고딕"/>
          <w:b/>
          <w:i w:val="0"/>
          <w:sz w:val="21"/>
        </w:rPr>
        <w:t>▶ 연구문제별 결론 명시적 대응</w:t>
      </w:r>
    </w:p>
    <w:p>
      <w:pPr>
        <w:spacing w:after="80"/>
        <w:ind w:left="454"/>
      </w:pPr>
      <w:r>
        <w:rPr>
          <w:rFonts w:ascii="맑은 고딕" w:hAnsi="맑은 고딕" w:eastAsia="맑은 고딕"/>
          <w:b w:val="0"/>
          <w:i w:val="0"/>
          <w:sz w:val="21"/>
        </w:rPr>
        <w:t>연구문제 1-1(정서), 1-2(스트레스), 1-3(집중도)에 대한 답변을 논의 서두에서 구조적으로 제시할 것.</w:t>
      </w:r>
    </w:p>
    <w:p/>
    <w:p>
      <w:pPr>
        <w:spacing w:before="240" w:after="100"/>
      </w:pPr>
      <w:r>
        <w:rPr>
          <w:rFonts w:ascii="맑은 고딕" w:hAnsi="맑은 고딕" w:eastAsia="맑은 고딕"/>
          <w:b/>
          <w:i w:val="0"/>
          <w:sz w:val="28"/>
        </w:rPr>
        <w:t>5. 논문의 강점</w:t>
      </w:r>
    </w:p>
    <w:p>
      <w:pPr>
        <w:spacing w:after="60"/>
        <w:ind w:left="283"/>
      </w:pPr>
      <w:r>
        <w:rPr>
          <w:rFonts w:ascii="맑은 고딕" w:hAnsi="맑은 고딕" w:eastAsia="맑은 고딕"/>
          <w:b w:val="0"/>
          <w:i w:val="0"/>
          <w:sz w:val="21"/>
        </w:rPr>
        <w:t>• 주제의 시의성: AI 기반 교육 환경에서 생리심리 데이터를 교육심리 변인과 연결하는 연구 방향은 학습분석학 분야에서 중요한 기여 가능성을 지닌다.</w:t>
      </w:r>
    </w:p>
    <w:p>
      <w:pPr>
        <w:spacing w:after="60"/>
        <w:ind w:left="283"/>
      </w:pPr>
      <w:r>
        <w:rPr>
          <w:rFonts w:ascii="맑은 고딕" w:hAnsi="맑은 고딕" w:eastAsia="맑은 고딕"/>
          <w:b w:val="0"/>
          <w:i w:val="0"/>
          <w:sz w:val="21"/>
        </w:rPr>
        <w:t>• 과정 중심 데이터 활용: 시계열 패턴 기반 학습자 유형 적용은 학습의 동적 특성을 포착하는 방법론적 혁신이다.</w:t>
      </w:r>
    </w:p>
    <w:p>
      <w:pPr>
        <w:spacing w:after="60"/>
        <w:ind w:left="283"/>
      </w:pPr>
      <w:r>
        <w:rPr>
          <w:rFonts w:ascii="맑은 고딕" w:hAnsi="맑은 고딕" w:eastAsia="맑은 고딕"/>
          <w:b w:val="0"/>
          <w:i w:val="0"/>
          <w:sz w:val="21"/>
        </w:rPr>
        <w:t>• 생태학적 타당도: 실험실이 아닌 실제 AI 자습실에서 수집된 데이터를 활용하여 현장 적용 가능성이 높다.</w:t>
      </w:r>
    </w:p>
    <w:p>
      <w:pPr>
        <w:spacing w:after="60"/>
        <w:ind w:left="283"/>
      </w:pPr>
      <w:r>
        <w:rPr>
          <w:rFonts w:ascii="맑은 고딕" w:hAnsi="맑은 고딕" w:eastAsia="맑은 고딕"/>
          <w:b w:val="0"/>
          <w:i w:val="0"/>
          <w:sz w:val="21"/>
        </w:rPr>
        <w:t>• 교육적 함의의 구체성: 저집중 학습자에 대한 맞춤형 개입 설계 방향을 구체적으로 논의하였다.</w:t>
      </w:r>
    </w:p>
    <w:p>
      <w:pPr>
        <w:spacing w:after="60"/>
        <w:ind w:left="283"/>
      </w:pPr>
      <w:r>
        <w:rPr>
          <w:rFonts w:ascii="맑은 고딕" w:hAnsi="맑은 고딕" w:eastAsia="맑은 고딕"/>
          <w:b w:val="0"/>
          <w:i w:val="0"/>
          <w:sz w:val="21"/>
        </w:rPr>
        <w:t>• 이론적 근거: Zimmerman(2002), Pekrun(2006), Järvelä &amp; Hadwin(2024) 등 핵심 이론과의 연결이 적절하다.</w:t>
      </w:r>
    </w:p>
    <w:p>
      <w:pPr>
        <w:spacing w:before="240" w:after="100"/>
      </w:pPr>
      <w:r>
        <w:rPr>
          <w:rFonts w:ascii="맑은 고딕" w:hAnsi="맑은 고딕" w:eastAsia="맑은 고딕"/>
          <w:b/>
          <w:i w:val="0"/>
          <w:sz w:val="28"/>
        </w:rPr>
        <w:t>6. 최종 판정 및 권고사항</w:t>
      </w:r>
    </w:p>
    <w:p>
      <w:pPr>
        <w:spacing w:after="160"/>
      </w:pPr>
      <w:r>
        <w:rPr>
          <w:rFonts w:ascii="맑은 고딕" w:hAnsi="맑은 고딕" w:eastAsia="맑은 고딕"/>
          <w:b/>
          <w:i w:val="0"/>
          <w:color w:val="B43232"/>
          <w:sz w:val="24"/>
        </w:rPr>
        <w:t>최종 판정: 수정 후 재심 (Major Revision Required)</w:t>
      </w:r>
    </w:p>
    <w:p>
      <w:pPr>
        <w:spacing w:after="80"/>
      </w:pPr>
      <w:r>
        <w:rPr>
          <w:rFonts w:ascii="맑은 고딕" w:hAnsi="맑은 고딕" w:eastAsia="맑은 고딕"/>
          <w:b w:val="0"/>
          <w:i w:val="0"/>
          <w:sz w:val="21"/>
        </w:rPr>
        <w:t>본 논문은 연구 주제의 참신성과 학문적 기여 가능성을 인정하나, 표본 크기의 심각한 제한, 스트레스-정서 지표의 구인 독립성 문제, 선행연구 데이터 관계의 불명확성, 반직관적 상관관계에 대한 해석 부족 등 핵심적인 방법론적 문제가 해결되어야 게재 적합성을 갖출 수 있다고 판단된다.</w:t>
      </w:r>
    </w:p>
    <w:p>
      <w:pPr>
        <w:spacing w:after="80"/>
      </w:pPr>
      <w:r>
        <w:rPr>
          <w:rFonts w:ascii="맑은 고딕" w:hAnsi="맑은 고딕" w:eastAsia="맑은 고딕"/>
          <w:b/>
          <w:i w:val="0"/>
          <w:sz w:val="21"/>
        </w:rPr>
        <w:t>저자에게 다음을 권고한다:</w:t>
      </w:r>
    </w:p>
    <w:p>
      <w:pPr>
        <w:spacing w:after="60"/>
        <w:ind w:left="283"/>
      </w:pPr>
      <w:r>
        <w:rPr>
          <w:rFonts w:ascii="맑은 고딕" w:hAnsi="맑은 고딕" w:eastAsia="맑은 고딕"/>
          <w:b w:val="0"/>
          <w:i w:val="0"/>
          <w:sz w:val="21"/>
        </w:rPr>
        <w:t>• [필수] 사후 검정력 분석 실시 및 결과 보고</w:t>
      </w:r>
    </w:p>
    <w:p>
      <w:pPr>
        <w:spacing w:after="60"/>
        <w:ind w:left="283"/>
      </w:pPr>
      <w:r>
        <w:rPr>
          <w:rFonts w:ascii="맑은 고딕" w:hAnsi="맑은 고딕" w:eastAsia="맑은 고딕"/>
          <w:b w:val="0"/>
          <w:i w:val="0"/>
          <w:sz w:val="21"/>
        </w:rPr>
        <w:t>• [필수] 스트레스-정서 지표 간 측정 독립성 문제에 대한 심층 논의</w:t>
      </w:r>
    </w:p>
    <w:p>
      <w:pPr>
        <w:spacing w:after="60"/>
        <w:ind w:left="283"/>
      </w:pPr>
      <w:r>
        <w:rPr>
          <w:rFonts w:ascii="맑은 고딕" w:hAnsi="맑은 고딕" w:eastAsia="맑은 고딕"/>
          <w:b w:val="0"/>
          <w:i w:val="0"/>
          <w:sz w:val="21"/>
        </w:rPr>
        <w:t>• [필수] 선행연구(박사논문)와 본 연구의 데이터 관계 명확히 기술</w:t>
      </w:r>
    </w:p>
    <w:p>
      <w:pPr>
        <w:spacing w:after="60"/>
        <w:ind w:left="283"/>
      </w:pPr>
      <w:r>
        <w:rPr>
          <w:rFonts w:ascii="맑은 고딕" w:hAnsi="맑은 고딕" w:eastAsia="맑은 고딕"/>
          <w:b w:val="0"/>
          <w:i w:val="0"/>
          <w:sz w:val="21"/>
        </w:rPr>
        <w:t>• [필수] 반직관적 상관 결과(지루함↑→SRL↑, 집중도↑→지루함↑)에 대한 해석 제시</w:t>
      </w:r>
    </w:p>
    <w:p>
      <w:pPr>
        <w:spacing w:after="60"/>
        <w:ind w:left="283"/>
      </w:pPr>
      <w:r>
        <w:rPr>
          <w:rFonts w:ascii="맑은 고딕" w:hAnsi="맑은 고딕" w:eastAsia="맑은 고딕"/>
          <w:b w:val="0"/>
          <w:i w:val="0"/>
          <w:sz w:val="21"/>
        </w:rPr>
        <w:t>• [필수] 탈락자 특성 분석(attrition analysis) 추가</w:t>
      </w:r>
    </w:p>
    <w:p>
      <w:pPr>
        <w:spacing w:after="60"/>
        <w:ind w:left="283"/>
      </w:pPr>
      <w:r>
        <w:rPr>
          <w:rFonts w:ascii="맑은 고딕" w:hAnsi="맑은 고딕" w:eastAsia="맑은 고딕"/>
          <w:b w:val="0"/>
          <w:i w:val="0"/>
          <w:sz w:val="21"/>
        </w:rPr>
        <w:t>• [권고] 표 4 레이아웃 전면 수정</w:t>
      </w:r>
    </w:p>
    <w:p>
      <w:pPr>
        <w:spacing w:after="60"/>
        <w:ind w:left="283"/>
      </w:pPr>
      <w:r>
        <w:rPr>
          <w:rFonts w:ascii="맑은 고딕" w:hAnsi="맑은 고딕" w:eastAsia="맑은 고딕"/>
          <w:b w:val="0"/>
          <w:i w:val="0"/>
          <w:sz w:val="21"/>
        </w:rPr>
        <w:t>• [권고] 영문 초록 원어민 교정</w:t>
      </w:r>
    </w:p>
    <w:p>
      <w:pPr>
        <w:spacing w:after="60"/>
        <w:ind w:left="283"/>
      </w:pPr>
      <w:r>
        <w:rPr>
          <w:rFonts w:ascii="맑은 고딕" w:hAnsi="맑은 고딕" w:eastAsia="맑은 고딕"/>
          <w:b w:val="0"/>
          <w:i w:val="0"/>
          <w:sz w:val="21"/>
        </w:rPr>
        <w:t>• [권고] 연구문제별 결론 명시적 대응 서술</w:t>
      </w:r>
    </w:p>
    <w:p/>
    <w:p>
      <w:pPr>
        <w:spacing w:after="80"/>
      </w:pPr>
      <w:r>
        <w:rPr>
          <w:rFonts w:ascii="맑은 고딕" w:hAnsi="맑은 고딕" w:eastAsia="맑은 고딕"/>
          <w:b w:val="0"/>
          <w:i w:val="0"/>
          <w:sz w:val="21"/>
        </w:rPr>
        <w:t>수정 원고 제출 시 심사자 코멘트에 대한 응답서(Response to Reviewers)를 함께 제출해 주시기 바랍니다.</w:t>
      </w:r>
    </w:p>
    <w:p/>
    <w:p>
      <w:r>
        <w:t>──────────────────────────────────────────────────────────</w:t>
      </w:r>
    </w:p>
    <w:p>
      <w:pPr>
        <w:jc w:val="right"/>
      </w:pPr>
      <w:r>
        <w:rPr>
          <w:rFonts w:ascii="맑은 고딕" w:hAnsi="맑은 고딕" w:eastAsia="맑은 고딕"/>
          <w:b w:val="0"/>
          <w:i w:val="0"/>
          <w:color w:val="787878"/>
          <w:sz w:val="18"/>
        </w:rPr>
        <w:t>심사 완료일: 2026년 5월 4일  |  익명 심사자</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