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SEP 25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Advancing Universal Health Coverage Through Legal Excellence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Yesterday, Hon. @AGDorcas_Oduor welcomed @DrDeborahbarasa, Cabinet Secretary for Health, for a strategic courtesy visit focused on strengthening Kenya's healthcare legal framework.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Discussion Focus: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Universal Health Coverage (UHC) laws implementation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Legal support for comprehensive healthcare reforms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Attorney General's Office role in facilitating UHC rollout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Strategic alignment between health policy and legal frameworks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Collaborative Commitment: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Legal guidance for UHC implementation across all counties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Ensuring robust legal foundations for healthcare delivery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Supporting regulatory frameworks for health sector transformation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Facilitating seamless policy-to-practice transition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The AG's Office is committed to providing comprehensive legal support to ensure Universal Health Coverage becomes a reality for all Kenyans. Strong legal frameworks are essential for sustainable healthcare transformation.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