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OCT 8, 2024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Championing Corporate Sustainability in 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Yesterday, Hon. @AGDorcas Oduor served as Chief Guest at the launch of EABL's Sustainability Report at Serena Hotel - celebrating corporate commitment to environmental and social responsibility.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Highlights: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EABL's comprehensive sustainability initiatives showcase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creating a lasting positive impact on society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Environmental stewardship and community development priorities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Corporate accountability in sustainable business practices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Themes: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Corporate responsibility in environmental conservation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Community impact and social development programs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Sustainable business practices for long-term growth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Private sector leadership in the sustainability agenda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AG's presence underscores government support for corporate sustainability initiatives and the importance of private sector engagement in Kenya's environmental and social development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