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OCT 7, 2024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Showcasing Kenya's Wildlife Heritage Through Diplomacy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Yesterday, Hon. @AGDorcas_Oduor had the pleasure of touring the iconic Giraffe Centre alongside Serbia's First Lady Tamara Vuĉić - blending wildlife conservation with international relations.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Diplomatic Wildlife Engagement: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Cultural exchange through Kenya's conservation showcase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International appreciation for Kenya's wildlife heritage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Strengthening Kenya-Serbia bilateral relations through shared experiences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Conservation Focus: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Fascinating history of giraffes in Kenya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conservation efforts to preserve this iconic species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Educational initiatives promoting wildlife awareness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involvement in conservation programs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Kenya's Conservation Legacy: The tour highlighted Kenya's leadership in wildlife conservation and our commitment to preserving Africa's natural heritage for future generations. International visitors experience firsthand our dedication to environmental stewardship.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