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NOV 12,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Strengthening Kenya-Germany Development Partnership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Hon. Attorney General @AGDorcas_Oduor today received German Ambassador H.E. Sebastian Groth for a strategic courtesy call to discuss the second phase of bilateral cooperation between our nations.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Ambassador Groth was accompanied by: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Deputy Head of Development Cooperation Ms. Alena Kern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GIZ Country Director Bodo Immink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Governance Cluster Coordinator Thomas Ansorg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 of Component – AU - IFF Programme Juliet Mule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Advisor- IFF Irene Boke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meeting focused 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Progress update on 2025-2028 Development Corporation Document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AG's crucial role as Political Partner under the Standard Implementation Agreement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review process before National Treasury submission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Advancing the second phase of cooperation initiatives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mandated by the Standard Implementation Agreement, the AG ensures all development cooperation documents meet legal and constitutional standards before the Treasury submissions, safeguarding Kenya's interests in international partnerships.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