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FEB 6,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 MILESTONE IN KISUMU!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Yesterday, Attorney General Hon. Dorcas A. Oduor commissioned the Kisumu Regional Documentation Centre - a game-changer for access to justice in Western Kenya!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Distinguished attendees:  Hon. Solicitor General, Kisumu County Commissioner Mr. Benson Leparmorijo, OAG &amp; DOJ Departmental heads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UNPRECEDENTED SERVICE EXPANSION: For the first time in OAG &amp; DOJ history, these critical services are now available at the county level: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Civil Litigation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Marriage Services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Trustee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Presidential Pardon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National Legal Aid Services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Societies Registration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DECENTRALIZATION PROGRESS: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 additional counties targeted by the end of FY 2025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decentralized offices: 28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Ultimate goal: All 47 counties by 2026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INNOVATIONS: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of Mercy Advisory Committee services are decentralized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transformation is underway for data accuracy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efficiency in service delivery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and cost savings for Kenyans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Bringing justice closer to the people!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