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SEP 26, 2024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Strengthening Legal Aid Through Strategic Partnership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Earlier today, FIDA leadership paid a courtesy call to Hon. @AGDorcas_Oduor, congratulating her on her appointment as Attorney General and exploring collaborative opportunities.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FIDA Leadership Delegation: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Chairperson Christine Kungu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Executive Director Ms. Anne Ireri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Other FIDA officials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• Also present: Solicitor General Hon. @shadrack_mose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Strategic Collaboration Commitments: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FIDA to collaborate with National Legal Aid Service (NLAS) on legal aid delivery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awareness about NLAS services for broader public access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FIDA pledged training and capacity building support for AG's Office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Joint efforts to strengthen legal aid ecosystem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AG emphasized the critical need to decentralize NLAS to all counties, ensuring every Kenyan has access to legal aid services regardless of their location.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