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OCT 31 2024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Strengthening Legal Services Across Government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Hon. @AGDorcas_Oduor yesterday held a crucial consultative meeting with the State Counsel deployed to all Ministries, Departments and Agencies (MDAs) across government.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Meeting Objectives: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Ensuring clarity of functions for all State Counsel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Drawing a consensus on the Terms of Reference (TOR) for officers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Standardizing legal service delivery across MDAs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Strengthening coordination between the AG's Office and government entities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Discussion 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Workload Analysis for optimal resource allocation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Performance Management and Reporting Framework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Capacity Building and Professional Development initiatives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Status of delinking the Office of the Attorney General from the Public Service Commission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consultative approach ensures our State Counsel are well-equipped with clear mandates and standardized frameworks to deliver consistent, high-quality legal services across all government institutions.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