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Date: March 14, 2025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MAJOR MILESTONE IN LEGAL EDUCATION REFORMS 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Today marks a historic moment as the Committee on Legal Education Sector Reforms, led by Ms. Christine Agimba of Kenya Law Reforms, submitted its comprehensive report to Attorney General Hon. Dorcas Oduor.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Key Highlights: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Extensive consultations and research conducted 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Major reforms proposed for the Advocates Training Program (ATP)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 Enhanced entry requirements and examination processes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Solutions for financial sustainability challenges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This transformative report will guide policy and legislative reforms to: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Shape the future of Kenya's legal profession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Ensure our justice system is served by highly qualified professionals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Bridge existing gaps in legal education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Align training with economic and societal dynamics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Government remains committed to implementing these progressive reforms that will strengthen institutional capacity and elevate the standards of legal education in Kenya.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