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NOV 13 2024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Strengthening partnerships for justice and good governance!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Today, Hon. @AGDorcas Oduor met with UK High Commissioner @FCDONeilWigan to discuss critical rule of law matters and Kenya's robust anti-corruption strategies.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Key Highlights: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Reaffirmed Kenya's unwavering commitment to rule of law &amp; human rights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Discussed OAG DOJ's ambitious 2024-2027 transformation agenda (Ksh. 10B investment)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Explored strategic partnerships for legal sector reforms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Our Reform Priorities: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Expanding legal aid services nationwide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Decentralizing legal services to all counties</w:t>
        <w:br w:type="textWrapping"/>
        <w:t xml:space="preserve">Digitizing case files for efficiency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Building strategic partnerships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Accountability First:</w:t>
      </w:r>
      <w:r w:rsidDel="00000000" w:rsidR="00000000" w:rsidRPr="00000000">
        <w:rPr>
          <w:rtl w:val="0"/>
        </w:rPr>
        <w:t xml:space="preserve"> Built-in monitoring, regular audits, stakeholder engagement &amp; public reporting ensure transparency in our transformation journey.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