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FEB 4,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UNITED FRONT AGAINST CORRUPTION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the Kenya Leadership Integrity Forum (KLIF) met with the Attorney General, Hon. Dorcas Oduor, to discuss strategies in our collective fight against corruption and unethical practices.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High-Level Delegation: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by EACC Chairman Dr. David Oginde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 stakeholder sectors represented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and private sector unity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Accompanied by Solicitor-General Hon. Shadrack Mose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HISTORICAL CONTEXT: KLIF was established following the launch of the National Anti-Corruption Plan on July 5th, 2006, demonstrating Kenya's long-standing commitment to integrity.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AGENDA: The upcoming Kenya Integrity Plan (2023-2028) launch featuring: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Comprehensive anti-corruption strategies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Sector-specific implementation matrices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Enhanced integrity frameworks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Multi-stakeholder collaboration approach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strategic partnership reinforces our unwavering commitment to building a corruption-free Kenya where integrity is not just expected but guaranteed.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